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E7090" w14:textId="77777777" w:rsidR="009E4F00" w:rsidRPr="00454F35" w:rsidRDefault="009E4F00" w:rsidP="00CF5702">
      <w:pPr>
        <w:pStyle w:val="FreeForm"/>
        <w:spacing w:line="276" w:lineRule="auto"/>
        <w:ind w:right="140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val="lt-LT"/>
        </w:rPr>
      </w:pPr>
      <w:r w:rsidRPr="00454F35">
        <w:rPr>
          <w:rFonts w:ascii="Times New Roman" w:hAnsi="Times New Roman"/>
          <w:color w:val="auto"/>
          <w:sz w:val="22"/>
          <w:szCs w:val="22"/>
          <w:lang w:val="lt-LT"/>
        </w:rPr>
        <w:t>PATVIRTINTA:</w:t>
      </w:r>
    </w:p>
    <w:p w14:paraId="6F510622" w14:textId="77777777" w:rsidR="009E4F00" w:rsidRPr="00454F35" w:rsidRDefault="009E4F00" w:rsidP="00CF5702">
      <w:pPr>
        <w:pStyle w:val="FreeForm"/>
        <w:spacing w:line="276" w:lineRule="auto"/>
        <w:ind w:right="140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val="lt-LT"/>
        </w:rPr>
      </w:pPr>
      <w:r w:rsidRPr="00454F35">
        <w:rPr>
          <w:rFonts w:ascii="Times New Roman" w:hAnsi="Times New Roman"/>
          <w:color w:val="auto"/>
          <w:sz w:val="22"/>
          <w:szCs w:val="22"/>
          <w:lang w:val="lt-LT"/>
        </w:rPr>
        <w:t>Viešojo pirkimo komisijos</w:t>
      </w:r>
    </w:p>
    <w:p w14:paraId="1265494B" w14:textId="162DBEFA" w:rsidR="009E4F00" w:rsidRPr="00454F35" w:rsidRDefault="009E4F00" w:rsidP="00CF5702">
      <w:pPr>
        <w:pStyle w:val="FreeForm"/>
        <w:spacing w:line="276" w:lineRule="auto"/>
        <w:ind w:right="140"/>
        <w:jc w:val="right"/>
        <w:rPr>
          <w:rFonts w:ascii="Times New Roman" w:eastAsia="Times New Roman" w:hAnsi="Times New Roman" w:cs="Times New Roman"/>
          <w:color w:val="auto"/>
          <w:sz w:val="22"/>
          <w:szCs w:val="22"/>
          <w:lang w:val="lt-LT"/>
        </w:rPr>
      </w:pPr>
      <w:r w:rsidRPr="00454F35">
        <w:rPr>
          <w:rFonts w:ascii="Times New Roman" w:hAnsi="Times New Roman"/>
          <w:color w:val="auto"/>
          <w:sz w:val="22"/>
          <w:szCs w:val="22"/>
          <w:lang w:val="lt-LT"/>
        </w:rPr>
        <w:t>202</w:t>
      </w:r>
      <w:r w:rsidR="00454F35" w:rsidRPr="00454F35">
        <w:rPr>
          <w:rFonts w:ascii="Times New Roman" w:hAnsi="Times New Roman"/>
          <w:color w:val="auto"/>
          <w:sz w:val="22"/>
          <w:szCs w:val="22"/>
          <w:lang w:val="lt-LT"/>
        </w:rPr>
        <w:t>6</w:t>
      </w:r>
      <w:r w:rsidRPr="00454F35">
        <w:rPr>
          <w:rFonts w:ascii="Times New Roman" w:hAnsi="Times New Roman"/>
          <w:color w:val="auto"/>
          <w:sz w:val="22"/>
          <w:szCs w:val="22"/>
          <w:lang w:val="lt-LT"/>
        </w:rPr>
        <w:t xml:space="preserve"> m. </w:t>
      </w:r>
      <w:r w:rsidR="00454F35" w:rsidRPr="00454F35">
        <w:rPr>
          <w:rFonts w:ascii="Times New Roman" w:hAnsi="Times New Roman"/>
          <w:color w:val="auto"/>
          <w:sz w:val="22"/>
          <w:szCs w:val="22"/>
          <w:lang w:val="lt-LT"/>
        </w:rPr>
        <w:t>vasario</w:t>
      </w:r>
      <w:r w:rsidR="001864AA" w:rsidRPr="00454F35">
        <w:rPr>
          <w:rFonts w:ascii="Times New Roman" w:hAnsi="Times New Roman"/>
          <w:color w:val="auto"/>
          <w:sz w:val="22"/>
          <w:szCs w:val="22"/>
          <w:lang w:val="lt-LT"/>
        </w:rPr>
        <w:t xml:space="preserve"> </w:t>
      </w:r>
      <w:r w:rsidR="00454F35" w:rsidRPr="00454F35">
        <w:rPr>
          <w:rFonts w:ascii="Times New Roman" w:hAnsi="Times New Roman"/>
          <w:color w:val="auto"/>
          <w:sz w:val="22"/>
          <w:szCs w:val="22"/>
          <w:lang w:val="lt-LT"/>
        </w:rPr>
        <w:t>6</w:t>
      </w:r>
      <w:r w:rsidR="00A91A54" w:rsidRPr="00454F35">
        <w:rPr>
          <w:rFonts w:ascii="Times New Roman" w:hAnsi="Times New Roman"/>
          <w:color w:val="auto"/>
          <w:sz w:val="22"/>
          <w:szCs w:val="22"/>
          <w:lang w:val="lt-LT"/>
        </w:rPr>
        <w:t xml:space="preserve"> </w:t>
      </w:r>
      <w:r w:rsidRPr="00454F35">
        <w:rPr>
          <w:rFonts w:ascii="Times New Roman" w:hAnsi="Times New Roman"/>
          <w:color w:val="auto"/>
          <w:sz w:val="22"/>
          <w:szCs w:val="22"/>
          <w:lang w:val="lt-LT"/>
        </w:rPr>
        <w:t>d. protokolu</w:t>
      </w:r>
    </w:p>
    <w:p w14:paraId="1A3F6F53" w14:textId="77777777" w:rsidR="009E4F00" w:rsidRPr="00454F35" w:rsidRDefault="009E4F00" w:rsidP="00CF5702">
      <w:pPr>
        <w:pStyle w:val="Heading"/>
        <w:spacing w:line="276" w:lineRule="auto"/>
        <w:jc w:val="center"/>
        <w:rPr>
          <w:rFonts w:eastAsia="Times New Roman" w:cs="Times New Roman"/>
          <w:color w:val="auto"/>
          <w:lang w:val="lt-LT" w:eastAsia="lt-LT" w:bidi="lt-LT"/>
        </w:rPr>
      </w:pPr>
    </w:p>
    <w:p w14:paraId="1FB1EB77" w14:textId="134D4867" w:rsidR="006D0DC4" w:rsidRPr="00454F35" w:rsidRDefault="008F10E8" w:rsidP="00EA6076">
      <w:pPr>
        <w:pStyle w:val="Heading"/>
        <w:spacing w:line="276" w:lineRule="auto"/>
        <w:jc w:val="center"/>
        <w:rPr>
          <w:rFonts w:eastAsia="Times New Roman" w:cs="Times New Roman"/>
          <w:color w:val="auto"/>
          <w:lang w:val="lt-LT" w:eastAsia="lt-LT" w:bidi="lt-LT"/>
        </w:rPr>
      </w:pPr>
      <w:r w:rsidRPr="00454F35">
        <w:rPr>
          <w:rFonts w:eastAsia="Times New Roman" w:cs="Times New Roman"/>
          <w:color w:val="auto"/>
          <w:lang w:val="lt-LT" w:eastAsia="lt-LT" w:bidi="lt-LT"/>
        </w:rPr>
        <w:t>PRIEDAS „TECHNINĖ SPECIFIKACIJA“</w:t>
      </w:r>
    </w:p>
    <w:p w14:paraId="6E6AC54B" w14:textId="77777777" w:rsidR="00125A62" w:rsidRPr="00454F35" w:rsidRDefault="00125A62" w:rsidP="00CF5702">
      <w:pPr>
        <w:pStyle w:val="Body2"/>
        <w:spacing w:line="276" w:lineRule="auto"/>
        <w:rPr>
          <w:rFonts w:cs="Times New Roman"/>
          <w:color w:val="auto"/>
          <w:lang w:val="lt-LT" w:eastAsia="lt-LT" w:bidi="lt-LT"/>
        </w:rPr>
      </w:pPr>
    </w:p>
    <w:tbl>
      <w:tblPr>
        <w:tblW w:w="114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"/>
        <w:gridCol w:w="20"/>
        <w:gridCol w:w="10458"/>
        <w:gridCol w:w="708"/>
      </w:tblGrid>
      <w:tr w:rsidR="00454F35" w:rsidRPr="00454F35" w14:paraId="0559219A" w14:textId="77777777" w:rsidTr="00C03E9D">
        <w:tc>
          <w:tcPr>
            <w:tcW w:w="277" w:type="dxa"/>
          </w:tcPr>
          <w:p w14:paraId="2678990E" w14:textId="77777777" w:rsidR="00454F35" w:rsidRPr="00454F35" w:rsidRDefault="00454F35" w:rsidP="00C03E9D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6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1"/>
            </w:tblGrid>
            <w:tr w:rsidR="00454F35" w:rsidRPr="00454F35" w14:paraId="07867672" w14:textId="77777777" w:rsidTr="00C03E9D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7B9468D4" w14:textId="77777777" w:rsidR="00454F35" w:rsidRPr="00454F35" w:rsidRDefault="00454F35" w:rsidP="00C03E9D">
                  <w:pPr>
                    <w:rPr>
                      <w:lang w:val="lt-LT"/>
                    </w:rPr>
                  </w:pPr>
                  <w:r w:rsidRPr="00454F35">
                    <w:rPr>
                      <w:b/>
                      <w:lang w:val="lt-LT"/>
                    </w:rPr>
                    <w:t xml:space="preserve">1. Statytojas: </w:t>
                  </w:r>
                  <w:r w:rsidRPr="00454F35">
                    <w:rPr>
                      <w:lang w:val="lt-LT"/>
                    </w:rPr>
                    <w:t xml:space="preserve"> Akcinė bendrovė „Via Lietuva“</w:t>
                  </w:r>
                </w:p>
              </w:tc>
            </w:tr>
            <w:tr w:rsidR="00454F35" w:rsidRPr="00454F35" w14:paraId="15E8E6F4" w14:textId="77777777" w:rsidTr="00C03E9D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4C7A9668" w14:textId="77777777" w:rsidR="00454F35" w:rsidRPr="00454F35" w:rsidRDefault="00454F35" w:rsidP="00C03E9D">
                  <w:pPr>
                    <w:contextualSpacing/>
                    <w:rPr>
                      <w:lang w:val="lt-LT"/>
                    </w:rPr>
                  </w:pPr>
                  <w:r w:rsidRPr="00454F35">
                    <w:rPr>
                      <w:b/>
                      <w:lang w:val="lt-LT"/>
                    </w:rPr>
                    <w:t xml:space="preserve">2. Užsakovas:  </w:t>
                  </w:r>
                  <w:r w:rsidRPr="00454F35">
                    <w:rPr>
                      <w:lang w:val="lt-LT"/>
                    </w:rPr>
                    <w:t>Kauno rajono savivaldybės administracija</w:t>
                  </w:r>
                </w:p>
              </w:tc>
            </w:tr>
            <w:tr w:rsidR="00454F35" w:rsidRPr="00454F35" w14:paraId="0F4BB173" w14:textId="77777777" w:rsidTr="00C03E9D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22F0E9F2" w14:textId="77777777" w:rsidR="00454F35" w:rsidRPr="00454F35" w:rsidRDefault="00454F35" w:rsidP="00C03E9D">
                  <w:pPr>
                    <w:jc w:val="both"/>
                    <w:rPr>
                      <w:lang w:val="lt-LT"/>
                    </w:rPr>
                  </w:pPr>
                  <w:r w:rsidRPr="00454F35">
                    <w:rPr>
                      <w:b/>
                      <w:lang w:val="lt-LT"/>
                    </w:rPr>
                    <w:t xml:space="preserve">3. Projekto pavadinimas: </w:t>
                  </w:r>
                  <w:r w:rsidRPr="00454F35">
                    <w:rPr>
                      <w:lang w:val="lt-LT"/>
                    </w:rPr>
                    <w:t xml:space="preserve"> Valstybinės reikšmės krašto kelio Nr. 222 Kaunas–Vandžiogala ruožo nuo 8,113 iki 10,905 km rekonstravimas</w:t>
                  </w:r>
                </w:p>
              </w:tc>
            </w:tr>
            <w:tr w:rsidR="00454F35" w:rsidRPr="00454F35" w14:paraId="588E66AA" w14:textId="77777777" w:rsidTr="00C03E9D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65E335A8" w14:textId="77777777" w:rsidR="00454F35" w:rsidRPr="00454F35" w:rsidRDefault="00454F35" w:rsidP="00C03E9D">
                  <w:pPr>
                    <w:rPr>
                      <w:lang w:val="lt-LT"/>
                    </w:rPr>
                  </w:pPr>
                  <w:r w:rsidRPr="00454F35">
                    <w:rPr>
                      <w:b/>
                      <w:lang w:val="lt-LT"/>
                    </w:rPr>
                    <w:t xml:space="preserve">4. Statybos rūšis: </w:t>
                  </w:r>
                  <w:r w:rsidRPr="00454F35">
                    <w:rPr>
                      <w:lang w:val="lt-LT"/>
                    </w:rPr>
                    <w:t xml:space="preserve"> rekonstravimas.</w:t>
                  </w:r>
                </w:p>
              </w:tc>
            </w:tr>
            <w:tr w:rsidR="00454F35" w:rsidRPr="00454F35" w14:paraId="6E079F06" w14:textId="77777777" w:rsidTr="00C03E9D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6A057287" w14:textId="77777777" w:rsidR="00454F35" w:rsidRPr="00454F35" w:rsidRDefault="00454F35" w:rsidP="00C03E9D">
                  <w:pPr>
                    <w:rPr>
                      <w:lang w:val="lt-LT"/>
                    </w:rPr>
                  </w:pPr>
                  <w:r w:rsidRPr="00454F35">
                    <w:rPr>
                      <w:b/>
                      <w:lang w:val="lt-LT"/>
                    </w:rPr>
                    <w:t xml:space="preserve">5. Etapas:  </w:t>
                  </w:r>
                  <w:r w:rsidRPr="00454F35">
                    <w:rPr>
                      <w:lang w:val="lt-LT"/>
                    </w:rPr>
                    <w:t>techninis darbo projektas.</w:t>
                  </w:r>
                </w:p>
              </w:tc>
            </w:tr>
            <w:tr w:rsidR="00454F35" w:rsidRPr="00454F35" w14:paraId="2301797E" w14:textId="77777777" w:rsidTr="00C03E9D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356C9E4B" w14:textId="77777777" w:rsidR="00454F35" w:rsidRPr="00454F35" w:rsidRDefault="00454F35" w:rsidP="00C03E9D">
                  <w:pPr>
                    <w:rPr>
                      <w:lang w:val="lt-LT"/>
                    </w:rPr>
                  </w:pPr>
                  <w:r w:rsidRPr="00454F35">
                    <w:rPr>
                      <w:b/>
                      <w:lang w:val="lt-LT"/>
                    </w:rPr>
                    <w:t xml:space="preserve">6. Statinio kategorija: </w:t>
                  </w:r>
                  <w:r w:rsidRPr="00454F35">
                    <w:rPr>
                      <w:lang w:val="lt-LT"/>
                    </w:rPr>
                    <w:t xml:space="preserve"> ypatingasis statinys.</w:t>
                  </w:r>
                </w:p>
              </w:tc>
            </w:tr>
            <w:tr w:rsidR="00454F35" w:rsidRPr="00454F35" w14:paraId="7F8F2664" w14:textId="77777777" w:rsidTr="00C03E9D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0A9E8CE0" w14:textId="77777777" w:rsidR="00454F35" w:rsidRPr="00454F35" w:rsidRDefault="00454F35" w:rsidP="00C03E9D">
                  <w:pPr>
                    <w:rPr>
                      <w:lang w:val="lt-LT"/>
                    </w:rPr>
                  </w:pPr>
                  <w:r w:rsidRPr="00454F35">
                    <w:rPr>
                      <w:b/>
                      <w:lang w:val="lt-LT"/>
                    </w:rPr>
                    <w:t xml:space="preserve">7. Statinio rūšis:  </w:t>
                  </w:r>
                  <w:r w:rsidRPr="00454F35">
                    <w:rPr>
                      <w:lang w:val="lt-LT"/>
                    </w:rPr>
                    <w:t>inžinerinis statinys.</w:t>
                  </w:r>
                </w:p>
              </w:tc>
            </w:tr>
            <w:tr w:rsidR="00454F35" w:rsidRPr="00454F35" w14:paraId="4D76E5F2" w14:textId="77777777" w:rsidTr="00C03E9D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31C0D34C" w14:textId="77777777" w:rsidR="00454F35" w:rsidRPr="00454F35" w:rsidRDefault="00454F35" w:rsidP="00C03E9D">
                  <w:pPr>
                    <w:rPr>
                      <w:lang w:val="lt-LT"/>
                    </w:rPr>
                  </w:pPr>
                  <w:r w:rsidRPr="00454F35">
                    <w:rPr>
                      <w:b/>
                      <w:lang w:val="lt-LT"/>
                    </w:rPr>
                    <w:t xml:space="preserve">8. Inžinerinių statinių grupė:  </w:t>
                  </w:r>
                  <w:r w:rsidRPr="00454F35">
                    <w:rPr>
                      <w:lang w:val="lt-LT"/>
                    </w:rPr>
                    <w:t>susisiekimo komunikacijos.</w:t>
                  </w:r>
                </w:p>
              </w:tc>
            </w:tr>
            <w:tr w:rsidR="00454F35" w:rsidRPr="00454F35" w14:paraId="3D2417FB" w14:textId="77777777" w:rsidTr="00C03E9D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65605EDC" w14:textId="77777777" w:rsidR="00454F35" w:rsidRPr="00454F35" w:rsidRDefault="00454F35" w:rsidP="00C03E9D">
                  <w:pPr>
                    <w:rPr>
                      <w:lang w:val="lt-LT"/>
                    </w:rPr>
                  </w:pPr>
                  <w:r w:rsidRPr="00454F35">
                    <w:rPr>
                      <w:b/>
                      <w:lang w:val="lt-LT"/>
                    </w:rPr>
                    <w:t xml:space="preserve">9. Inžinerinių statinių pogrupis:  </w:t>
                  </w:r>
                  <w:r w:rsidRPr="00454F35">
                    <w:rPr>
                      <w:lang w:val="lt-LT"/>
                    </w:rPr>
                    <w:t>keliai.</w:t>
                  </w:r>
                </w:p>
              </w:tc>
            </w:tr>
          </w:tbl>
          <w:p w14:paraId="2CB8CDE7" w14:textId="77777777" w:rsidR="00454F35" w:rsidRPr="00454F35" w:rsidRDefault="00454F35" w:rsidP="00C03E9D">
            <w:pPr>
              <w:rPr>
                <w:color w:val="FF0000"/>
                <w:lang w:val="lt-LT"/>
              </w:rPr>
            </w:pPr>
          </w:p>
        </w:tc>
        <w:tc>
          <w:tcPr>
            <w:tcW w:w="707" w:type="dxa"/>
          </w:tcPr>
          <w:p w14:paraId="48BFE8F7" w14:textId="77777777" w:rsidR="00454F35" w:rsidRPr="00454F35" w:rsidRDefault="00454F35" w:rsidP="00C03E9D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54F35" w:rsidRPr="00454F35" w14:paraId="12B6554D" w14:textId="77777777" w:rsidTr="00C03E9D">
        <w:tc>
          <w:tcPr>
            <w:tcW w:w="277" w:type="dxa"/>
          </w:tcPr>
          <w:p w14:paraId="476ACA91" w14:textId="77777777" w:rsidR="00454F35" w:rsidRPr="00454F35" w:rsidRDefault="00454F35" w:rsidP="00C03E9D">
            <w:pPr>
              <w:pStyle w:val="EmptyCellLayoutStyle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46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1"/>
            </w:tblGrid>
            <w:tr w:rsidR="00454F35" w:rsidRPr="00454F35" w14:paraId="36CE6CB5" w14:textId="77777777" w:rsidTr="00C03E9D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E9EA4D" w14:textId="77777777" w:rsidR="00454F35" w:rsidRPr="00454F35" w:rsidRDefault="00454F35" w:rsidP="00C03E9D">
                  <w:pPr>
                    <w:jc w:val="both"/>
                    <w:rPr>
                      <w:color w:val="FF0000"/>
                      <w:lang w:val="lt-LT"/>
                    </w:rPr>
                  </w:pPr>
                  <w:r w:rsidRPr="00454F35">
                    <w:rPr>
                      <w:b/>
                      <w:lang w:val="lt-LT"/>
                    </w:rPr>
                    <w:t>10. Nurodymai statinių ir / arba jų elementų projektavimui ir jų techniniai parametrai:</w:t>
                  </w:r>
                </w:p>
              </w:tc>
            </w:tr>
            <w:tr w:rsidR="00454F35" w:rsidRPr="00454F35" w14:paraId="668B1B20" w14:textId="77777777" w:rsidTr="00C03E9D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2D2257" w14:textId="77777777" w:rsidR="00454F35" w:rsidRPr="00454F35" w:rsidRDefault="00454F35" w:rsidP="00C03E9D">
                  <w:pPr>
                    <w:ind w:left="720" w:hanging="360"/>
                    <w:jc w:val="both"/>
                    <w:rPr>
                      <w:color w:val="FF0000"/>
                      <w:lang w:val="lt-LT"/>
                    </w:rPr>
                  </w:pPr>
                  <w:r w:rsidRPr="00454F35">
                    <w:rPr>
                      <w:i/>
                      <w:lang w:val="lt-LT"/>
                    </w:rPr>
                    <w:t xml:space="preserve">10.1. numatoma darbų vykdymo riba: </w:t>
                  </w:r>
                  <w:r w:rsidRPr="00454F35">
                    <w:rPr>
                      <w:lang w:val="lt-LT"/>
                    </w:rPr>
                    <w:t xml:space="preserve"> kelio ruožas nuo 8,113 iki 10,905 km</w:t>
                  </w:r>
                  <w:r w:rsidRPr="00454F35">
                    <w:rPr>
                      <w:rFonts w:eastAsiaTheme="minorHAnsi"/>
                      <w:lang w:val="lt-LT"/>
                    </w:rPr>
                    <w:t xml:space="preserve"> </w:t>
                  </w:r>
                  <w:r w:rsidRPr="00454F35">
                    <w:rPr>
                      <w:lang w:val="lt-LT"/>
                    </w:rPr>
                    <w:t>(darbų ribos turi būti tikslinamos projektavimo metu, atsižvelgti į vykdomus projektus paminėtus 10.16 p.). Numatyti sklandų sujungimą (privedimą) su esama, planuojama, projektuojama infrastruktūra;</w:t>
                  </w:r>
                </w:p>
              </w:tc>
            </w:tr>
            <w:tr w:rsidR="00454F35" w:rsidRPr="00454F35" w14:paraId="6D998375" w14:textId="77777777" w:rsidTr="00C03E9D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9C8B52" w14:textId="77777777" w:rsidR="00454F35" w:rsidRPr="00454F35" w:rsidRDefault="00454F35" w:rsidP="00C03E9D">
                  <w:pPr>
                    <w:ind w:left="720" w:hanging="360"/>
                    <w:jc w:val="both"/>
                    <w:rPr>
                      <w:color w:val="FF0000"/>
                      <w:lang w:val="lt-LT"/>
                    </w:rPr>
                  </w:pPr>
                  <w:r w:rsidRPr="00454F35">
                    <w:rPr>
                      <w:i/>
                      <w:lang w:val="lt-LT"/>
                    </w:rPr>
                    <w:t xml:space="preserve">10.2. kelio (gatvės) kategorija: </w:t>
                  </w:r>
                  <w:r w:rsidRPr="00454F35">
                    <w:rPr>
                      <w:lang w:val="lt-LT"/>
                    </w:rPr>
                    <w:t xml:space="preserve">III, gyvenvietėje projektuoti pagal STR 2.06.04:2011 „Gatvės ir vietinės reikšmės keliai. Bendrieji reikalavimai“. Kelio ženklų Nr. 550 / 551 „Gyvenvietės pradžia / pabaiga“ ribos turi būti tikslinamos projektavimo metu, atsižvelgiant į užstatymą; </w:t>
                  </w:r>
                </w:p>
              </w:tc>
            </w:tr>
            <w:tr w:rsidR="00454F35" w:rsidRPr="00454F35" w14:paraId="1939134F" w14:textId="77777777" w:rsidTr="00C03E9D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5501F6" w14:textId="77777777" w:rsidR="00454F35" w:rsidRPr="00454F35" w:rsidRDefault="00454F35" w:rsidP="00C03E9D">
                  <w:pPr>
                    <w:ind w:left="720" w:hanging="360"/>
                    <w:jc w:val="both"/>
                    <w:rPr>
                      <w:color w:val="FF0000"/>
                      <w:lang w:val="lt-LT"/>
                    </w:rPr>
                  </w:pPr>
                </w:p>
              </w:tc>
            </w:tr>
            <w:tr w:rsidR="00454F35" w:rsidRPr="00454F35" w14:paraId="38CE94CD" w14:textId="77777777" w:rsidTr="00C03E9D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DA6887A" w14:textId="77777777" w:rsidR="00454F35" w:rsidRPr="00454F35" w:rsidRDefault="00454F35" w:rsidP="00C03E9D">
                  <w:pPr>
                    <w:ind w:left="720" w:hanging="360"/>
                    <w:jc w:val="both"/>
                    <w:rPr>
                      <w:iCs/>
                      <w:lang w:val="lt-LT"/>
                    </w:rPr>
                  </w:pPr>
                  <w:r w:rsidRPr="00454F35">
                    <w:rPr>
                      <w:i/>
                      <w:lang w:val="lt-LT"/>
                    </w:rPr>
                    <w:t xml:space="preserve">10.3. vieno lygio sankryžos:  </w:t>
                  </w:r>
                  <w:r w:rsidRPr="00454F35">
                    <w:rPr>
                      <w:lang w:val="lt-LT"/>
                    </w:rPr>
                    <w:t>10,253 km sankryžoje su valstybinės reikšmės rajoniniu keliu Nr. 1942 Privažiuojamasis kelias prie Domeikavos nuo kelio Vilijampolė–Žeimiai–Šėta, rengiant projektinius sprendinius pateikti ne mažiau kaip 3 (tris) galimus sankryžos sutvarkymo variantus, įvertinant esamus ir perspektyvinius eismo srautus, gretimų sklypų ribas bei nurodant kiekvieno siūlomo varianto privalumus bei trūkumus. Sprendinius suderinti su lygiagrečiai rengiamu projektu: „Valstybinės reikšmės rajoninio kelio Nr. 1942 Privažiuojamasis kelias prie Domeikavos nuo kelio Vilijampolė–Žeimiai–Šėta ruožo nuo 0,029 iki 2,440 km kapitalinis remontas“.</w:t>
                  </w:r>
                </w:p>
              </w:tc>
            </w:tr>
            <w:tr w:rsidR="00454F35" w:rsidRPr="00454F35" w14:paraId="78A50889" w14:textId="77777777" w:rsidTr="00C03E9D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2F4633" w14:textId="77777777" w:rsidR="00454F35" w:rsidRPr="00454F35" w:rsidRDefault="00454F35" w:rsidP="00C03E9D">
                  <w:pPr>
                    <w:ind w:left="720" w:hanging="360"/>
                    <w:jc w:val="both"/>
                    <w:rPr>
                      <w:lang w:val="lt-LT"/>
                    </w:rPr>
                  </w:pPr>
                  <w:r w:rsidRPr="00454F35">
                    <w:rPr>
                      <w:i/>
                      <w:lang w:val="lt-LT"/>
                    </w:rPr>
                    <w:t xml:space="preserve">10.4. pėstiesiems ir (arba) dviratininkams skirta infrastruktūra:  </w:t>
                  </w:r>
                  <w:r w:rsidRPr="00454F35">
                    <w:rPr>
                      <w:lang w:val="lt-LT"/>
                    </w:rPr>
                    <w:t>rekonstruoti esamus takus ir numatyti naujas trūkstamas atkarpas visame ruože atsižvelgiant į užstatymą. Sprendinius parinkti pagal R PDT12 „Pėsčiųjų ir dviračių takų projektavimo rekomendacijas“;</w:t>
                  </w:r>
                </w:p>
              </w:tc>
            </w:tr>
            <w:tr w:rsidR="00454F35" w:rsidRPr="00454F35" w14:paraId="79610F91" w14:textId="77777777" w:rsidTr="00C03E9D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457331" w14:textId="77777777" w:rsidR="00454F35" w:rsidRPr="00454F35" w:rsidRDefault="00454F35" w:rsidP="00C03E9D">
                  <w:pPr>
                    <w:ind w:left="720" w:hanging="360"/>
                    <w:jc w:val="both"/>
                    <w:rPr>
                      <w:lang w:val="lt-LT"/>
                    </w:rPr>
                  </w:pPr>
                  <w:r w:rsidRPr="00454F35">
                    <w:rPr>
                      <w:i/>
                      <w:lang w:val="lt-LT"/>
                    </w:rPr>
                    <w:t xml:space="preserve">10.5. dangos konstrukcijos klasė: </w:t>
                  </w:r>
                  <w:r w:rsidRPr="00454F35">
                    <w:rPr>
                      <w:lang w:val="lt-LT"/>
                    </w:rPr>
                    <w:t xml:space="preserve"> projektuoti pagal Automobilių kelių standartizuotų dangų konstrukcijų projektavimo taisykles. Pateikti detalius dangos konstrukcijos skaičiavimus pagal </w:t>
                  </w:r>
                  <w:r w:rsidRPr="00454F35">
                    <w:rPr>
                      <w:lang w:val="lt-LT"/>
                    </w:rPr>
                    <w:lastRenderedPageBreak/>
                    <w:t>3 skirtingus eismo intensyvumo prieaugius. Vadovaujantis taisyklių 21 punktu, parenkant dangos konstrukcijos variantus, rinktis tarp skaldos / žvyro ir AŠAS / ŠNS;</w:t>
                  </w:r>
                </w:p>
              </w:tc>
            </w:tr>
            <w:tr w:rsidR="00454F35" w:rsidRPr="00454F35" w14:paraId="41124C21" w14:textId="77777777" w:rsidTr="00C03E9D">
              <w:trPr>
                <w:trHeight w:val="219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9F15C1" w14:textId="77777777" w:rsidR="00454F35" w:rsidRPr="00454F35" w:rsidRDefault="00454F35" w:rsidP="00C03E9D">
                  <w:pPr>
                    <w:ind w:left="720" w:hanging="360"/>
                    <w:jc w:val="both"/>
                    <w:rPr>
                      <w:color w:val="FF0000"/>
                      <w:lang w:val="lt-LT"/>
                    </w:rPr>
                  </w:pPr>
                  <w:r w:rsidRPr="00454F35">
                    <w:rPr>
                      <w:i/>
                      <w:lang w:val="lt-LT"/>
                    </w:rPr>
                    <w:lastRenderedPageBreak/>
                    <w:t>10.6. nuovažų skaičius:</w:t>
                  </w:r>
                  <w:r w:rsidRPr="00454F35">
                    <w:rPr>
                      <w:lang w:val="lt-LT"/>
                    </w:rPr>
                    <w:t xml:space="preserve">  nustatoma projektavimo metu;</w:t>
                  </w:r>
                </w:p>
              </w:tc>
            </w:tr>
            <w:tr w:rsidR="00454F35" w:rsidRPr="00454F35" w14:paraId="60DD7198" w14:textId="77777777" w:rsidTr="00C03E9D">
              <w:trPr>
                <w:trHeight w:val="422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FF5E9C" w14:textId="77777777" w:rsidR="00454F35" w:rsidRPr="00454F35" w:rsidRDefault="00454F35" w:rsidP="00C03E9D">
                  <w:pPr>
                    <w:ind w:left="720" w:hanging="360"/>
                    <w:jc w:val="both"/>
                    <w:rPr>
                      <w:color w:val="FF0000"/>
                      <w:lang w:val="lt-LT"/>
                    </w:rPr>
                  </w:pPr>
                  <w:r w:rsidRPr="00454F35">
                    <w:rPr>
                      <w:i/>
                      <w:lang w:val="lt-LT"/>
                    </w:rPr>
                    <w:t xml:space="preserve">10.7. numatomi / rekonstruojami inžineriniai tinklai: </w:t>
                  </w:r>
                  <w:r w:rsidRPr="00454F35">
                    <w:rPr>
                      <w:lang w:val="lt-LT"/>
                    </w:rPr>
                    <w:t xml:space="preserve"> nustatoma projektavimo metu;</w:t>
                  </w:r>
                </w:p>
              </w:tc>
            </w:tr>
            <w:tr w:rsidR="00454F35" w:rsidRPr="00454F35" w14:paraId="1B5C39AC" w14:textId="77777777" w:rsidTr="00C03E9D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5BB5DA" w14:textId="77777777" w:rsidR="00454F35" w:rsidRPr="00454F35" w:rsidRDefault="00454F35" w:rsidP="00C03E9D">
                  <w:pPr>
                    <w:ind w:left="720" w:hanging="360"/>
                    <w:jc w:val="both"/>
                    <w:rPr>
                      <w:color w:val="FF0000"/>
                      <w:lang w:val="lt-LT"/>
                    </w:rPr>
                  </w:pPr>
                  <w:r w:rsidRPr="00454F35">
                    <w:rPr>
                      <w:i/>
                      <w:lang w:val="lt-LT"/>
                    </w:rPr>
                    <w:t xml:space="preserve">10.8. vandens pralaidos: </w:t>
                  </w:r>
                  <w:r w:rsidRPr="00454F35">
                    <w:rPr>
                      <w:lang w:val="lt-LT"/>
                    </w:rPr>
                    <w:t>poreikį esamas sutvarkyti / pakeisti naujomis nustatyti ir sprendinius parengti projektavimo metu (neprojektuoti pralaidų už kelio sklypo / statinio ribos);</w:t>
                  </w:r>
                </w:p>
              </w:tc>
            </w:tr>
            <w:tr w:rsidR="00454F35" w:rsidRPr="00454F35" w14:paraId="4B50EEFB" w14:textId="77777777" w:rsidTr="00C03E9D">
              <w:trPr>
                <w:trHeight w:val="69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1D4E48" w14:textId="77777777" w:rsidR="00454F35" w:rsidRPr="00454F35" w:rsidRDefault="00454F35" w:rsidP="00C03E9D">
                  <w:pPr>
                    <w:ind w:left="720" w:hanging="360"/>
                    <w:jc w:val="both"/>
                    <w:rPr>
                      <w:color w:val="FF0000"/>
                      <w:lang w:val="lt-LT"/>
                    </w:rPr>
                  </w:pPr>
                  <w:r w:rsidRPr="00454F35">
                    <w:rPr>
                      <w:i/>
                      <w:lang w:val="lt-LT"/>
                    </w:rPr>
                    <w:t xml:space="preserve">10.9. vandens nuleidimas nuo kelio: </w:t>
                  </w:r>
                  <w:r w:rsidRPr="00454F35">
                    <w:rPr>
                      <w:lang w:val="lt-LT"/>
                    </w:rPr>
                    <w:t xml:space="preserve"> spręsti lietaus vandens surinkimą ir nuvedimą projektavimo metu (neprojektuoti lietaus vandens nuvedimo į privačias teritorijas);</w:t>
                  </w:r>
                </w:p>
              </w:tc>
            </w:tr>
            <w:tr w:rsidR="00454F35" w:rsidRPr="00454F35" w14:paraId="6ECC4B29" w14:textId="77777777" w:rsidTr="00C03E9D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ECF051" w14:textId="77777777" w:rsidR="00454F35" w:rsidRPr="00454F35" w:rsidRDefault="00454F35" w:rsidP="00C03E9D">
                  <w:pPr>
                    <w:ind w:left="720" w:hanging="360"/>
                    <w:jc w:val="both"/>
                    <w:rPr>
                      <w:color w:val="FF0000"/>
                      <w:lang w:val="lt-LT"/>
                    </w:rPr>
                  </w:pPr>
                  <w:r w:rsidRPr="00454F35">
                    <w:rPr>
                      <w:i/>
                      <w:lang w:val="lt-LT"/>
                    </w:rPr>
                    <w:t xml:space="preserve">10.10. pėsčiųjų perėjimo per kelią organizavimo priemonės vieta: </w:t>
                  </w:r>
                  <w:r w:rsidRPr="00454F35">
                    <w:rPr>
                      <w:lang w:val="lt-LT"/>
                    </w:rPr>
                    <w:t xml:space="preserve"> poreikį nustatyti ir sprendinius parengti projektavimo metu, vadovaujantis Pėsčiųjų perėjimo per kelius ir gatves organizavimo taisyklėmis;</w:t>
                  </w:r>
                </w:p>
              </w:tc>
            </w:tr>
            <w:tr w:rsidR="00454F35" w:rsidRPr="00454F35" w14:paraId="0B0A55B8" w14:textId="77777777" w:rsidTr="00C03E9D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E6C47C6" w14:textId="77777777" w:rsidR="00454F35" w:rsidRPr="00454F35" w:rsidRDefault="00454F35" w:rsidP="00C03E9D">
                  <w:pPr>
                    <w:ind w:left="714" w:hanging="357"/>
                    <w:jc w:val="both"/>
                    <w:rPr>
                      <w:color w:val="FF0000"/>
                      <w:lang w:val="lt-LT"/>
                    </w:rPr>
                  </w:pPr>
                  <w:r w:rsidRPr="00454F35">
                    <w:rPr>
                      <w:i/>
                      <w:lang w:val="lt-LT"/>
                    </w:rPr>
                    <w:t xml:space="preserve">10.11. autobusų sustojimo aikštelių skaičius: </w:t>
                  </w:r>
                  <w:r w:rsidRPr="00454F35">
                    <w:rPr>
                      <w:lang w:val="lt-LT"/>
                    </w:rPr>
                    <w:t xml:space="preserve"> vietas tikslinti projektavimo metu. Projektuoti pagal STR 2.06.04:2011 „Gatvės ir vietinės reikšmės keliai. Bendrieji reikalavimai“). Pagal poreikį suprojektuoti privedimą iki autobusų sustojimo aikštelių;</w:t>
                  </w:r>
                </w:p>
              </w:tc>
            </w:tr>
            <w:tr w:rsidR="00454F35" w:rsidRPr="00454F35" w14:paraId="28B1B556" w14:textId="77777777" w:rsidTr="00C03E9D">
              <w:trPr>
                <w:trHeight w:val="392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871EB4" w14:textId="77777777" w:rsidR="00454F35" w:rsidRPr="00454F35" w:rsidRDefault="00454F35" w:rsidP="00C03E9D">
                  <w:pPr>
                    <w:ind w:left="720" w:hanging="360"/>
                    <w:jc w:val="both"/>
                    <w:rPr>
                      <w:color w:val="FF0000"/>
                      <w:lang w:val="lt-LT"/>
                    </w:rPr>
                  </w:pPr>
                  <w:r w:rsidRPr="00454F35">
                    <w:rPr>
                      <w:i/>
                      <w:lang w:val="lt-LT"/>
                    </w:rPr>
                    <w:t xml:space="preserve">10.12. autobusų sustojimo aikštelių paviljonų skaičius:  </w:t>
                  </w:r>
                  <w:r w:rsidRPr="00454F35">
                    <w:rPr>
                      <w:lang w:val="lt-LT"/>
                    </w:rPr>
                    <w:t>numatyti;</w:t>
                  </w:r>
                </w:p>
              </w:tc>
            </w:tr>
            <w:tr w:rsidR="00454F35" w:rsidRPr="00454F35" w14:paraId="72D708E1" w14:textId="77777777" w:rsidTr="00C03E9D">
              <w:trPr>
                <w:trHeight w:val="626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8664D5" w14:textId="77777777" w:rsidR="00454F35" w:rsidRPr="00454F35" w:rsidRDefault="00454F35" w:rsidP="00C03E9D">
                  <w:pPr>
                    <w:ind w:left="720" w:hanging="360"/>
                    <w:jc w:val="both"/>
                    <w:rPr>
                      <w:color w:val="FF0000"/>
                      <w:lang w:val="lt-LT"/>
                    </w:rPr>
                  </w:pPr>
                  <w:r w:rsidRPr="00454F35">
                    <w:rPr>
                      <w:i/>
                      <w:lang w:val="lt-LT"/>
                    </w:rPr>
                    <w:t xml:space="preserve">10.13. inžinerinės eismo saugos priemonės: </w:t>
                  </w:r>
                  <w:r w:rsidRPr="00454F35">
                    <w:rPr>
                      <w:lang w:val="lt-LT"/>
                    </w:rPr>
                    <w:t xml:space="preserve"> poreikį nustatyti projektavimo metu, vadovaujantis Inžinerinių eismo saugumo priemonių įgyvendinimo rekomendacijomis;</w:t>
                  </w:r>
                </w:p>
              </w:tc>
            </w:tr>
            <w:tr w:rsidR="00454F35" w:rsidRPr="00454F35" w14:paraId="4F2785AD" w14:textId="77777777" w:rsidTr="00C03E9D">
              <w:trPr>
                <w:trHeight w:val="285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7CA736" w14:textId="77777777" w:rsidR="00454F35" w:rsidRPr="00454F35" w:rsidRDefault="00454F35" w:rsidP="00C03E9D">
                  <w:pPr>
                    <w:ind w:left="720" w:hanging="360"/>
                    <w:jc w:val="both"/>
                    <w:rPr>
                      <w:i/>
                      <w:lang w:val="lt-LT"/>
                    </w:rPr>
                  </w:pPr>
                  <w:r w:rsidRPr="00454F35">
                    <w:rPr>
                      <w:i/>
                      <w:lang w:val="lt-LT"/>
                    </w:rPr>
                    <w:t xml:space="preserve">10.14. apšvietimas: </w:t>
                  </w:r>
                  <w:r w:rsidRPr="00454F35">
                    <w:rPr>
                      <w:lang w:val="lt-LT"/>
                    </w:rPr>
                    <w:t>modernizuoti esamą ir / ar suprojektuoti naują apšvietimą;</w:t>
                  </w:r>
                </w:p>
              </w:tc>
            </w:tr>
            <w:tr w:rsidR="00454F35" w:rsidRPr="00454F35" w14:paraId="4B1E06FA" w14:textId="77777777" w:rsidTr="00C03E9D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402D7E" w14:textId="77777777" w:rsidR="00454F35" w:rsidRPr="00454F35" w:rsidRDefault="00454F35" w:rsidP="00C03E9D">
                  <w:pPr>
                    <w:ind w:left="720" w:hanging="360"/>
                    <w:jc w:val="both"/>
                    <w:rPr>
                      <w:i/>
                      <w:lang w:val="lt-LT"/>
                    </w:rPr>
                  </w:pPr>
                  <w:r w:rsidRPr="00454F35">
                    <w:rPr>
                      <w:i/>
                      <w:lang w:val="lt-LT"/>
                    </w:rPr>
                    <w:t xml:space="preserve">10.15. triukšmo mažinimo priemonės:  </w:t>
                  </w:r>
                  <w:r w:rsidRPr="00454F35">
                    <w:rPr>
                      <w:iCs/>
                      <w:lang w:val="lt-LT"/>
                    </w:rPr>
                    <w:t>vadovautis Valstybinės reikšmės nepagrindiniuose kelių ruožuose, kurie yra ne aglomeracijose, kelių transporto keliamo triukšmo mažinimo priemonių taikymo reikalavimų aprašo, patvirtinto Lietuvos Respublikos susisiekimo ministro 2018-06-21 įsakymu Nr. 3-300, 21 punkto reikalavimais</w:t>
                  </w:r>
                  <w:r w:rsidRPr="00454F35">
                    <w:rPr>
                      <w:lang w:val="lt-LT"/>
                    </w:rPr>
                    <w:t>;</w:t>
                  </w:r>
                </w:p>
              </w:tc>
            </w:tr>
            <w:tr w:rsidR="00454F35" w:rsidRPr="00454F35" w14:paraId="68E3D3F5" w14:textId="77777777" w:rsidTr="00C03E9D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FE743E" w14:textId="77777777" w:rsidR="00454F35" w:rsidRPr="00454F35" w:rsidRDefault="00454F35" w:rsidP="00C03E9D">
                  <w:pPr>
                    <w:tabs>
                      <w:tab w:val="left" w:pos="419"/>
                    </w:tabs>
                    <w:jc w:val="both"/>
                    <w:rPr>
                      <w:i/>
                      <w:lang w:val="lt-LT"/>
                    </w:rPr>
                  </w:pPr>
                  <w:r w:rsidRPr="00454F35">
                    <w:rPr>
                      <w:i/>
                      <w:lang w:val="lt-LT"/>
                    </w:rPr>
                    <w:t xml:space="preserve">      10.16. kiti reikalavimai:</w:t>
                  </w:r>
                </w:p>
                <w:p w14:paraId="11BE5D0C" w14:textId="77777777" w:rsidR="00454F35" w:rsidRPr="00454F35" w:rsidRDefault="00454F35" w:rsidP="00C03E9D">
                  <w:pPr>
                    <w:ind w:left="670"/>
                    <w:jc w:val="both"/>
                    <w:rPr>
                      <w:lang w:val="lt-LT"/>
                    </w:rPr>
                  </w:pPr>
                  <w:r w:rsidRPr="00454F35">
                    <w:rPr>
                      <w:lang w:val="lt-LT"/>
                    </w:rPr>
                    <w:t>kelio ruožo rekonstravimo sprendiniai turi būti suderinti su atskirais projektais rengiamais projektiniais sprendiniais:</w:t>
                  </w:r>
                </w:p>
                <w:p w14:paraId="4F0445C3" w14:textId="77777777" w:rsidR="00454F35" w:rsidRPr="00454F35" w:rsidRDefault="00454F35" w:rsidP="00454F35">
                  <w:pPr>
                    <w:pStyle w:val="ListParagraph"/>
                    <w:numPr>
                      <w:ilvl w:val="0"/>
                      <w:numId w:val="14"/>
                    </w:numPr>
                    <w:suppressAutoHyphens w:val="0"/>
                    <w:jc w:val="both"/>
                  </w:pPr>
                  <w:r w:rsidRPr="00454F35">
                    <w:t>valstybinės reikšmės krašto kelio Nr. 222 Kaunas–Vandžiogala ruožo nuo 8,97 iki 9,21 km rekonstravimas;</w:t>
                  </w:r>
                </w:p>
                <w:p w14:paraId="71F530B7" w14:textId="77777777" w:rsidR="00454F35" w:rsidRPr="00454F35" w:rsidRDefault="00454F35" w:rsidP="00454F35">
                  <w:pPr>
                    <w:pStyle w:val="ListParagraph"/>
                    <w:numPr>
                      <w:ilvl w:val="0"/>
                      <w:numId w:val="14"/>
                    </w:numPr>
                    <w:suppressAutoHyphens w:val="0"/>
                    <w:jc w:val="both"/>
                  </w:pPr>
                  <w:r w:rsidRPr="00454F35">
                    <w:t>valstybinės reikšmės krašto kelio Nr. 222 Kaunas–Vandžiogala paprastasis remontas, atnaujinant pėsčiųjų perėjas ties 8,428, 9,139, 9,280, 9,545, 9,974, 10,164 ir 10,48 km;</w:t>
                  </w:r>
                </w:p>
                <w:p w14:paraId="665AC561" w14:textId="77777777" w:rsidR="00454F35" w:rsidRPr="00454F35" w:rsidRDefault="00454F35" w:rsidP="00454F35">
                  <w:pPr>
                    <w:pStyle w:val="ListParagraph"/>
                    <w:numPr>
                      <w:ilvl w:val="0"/>
                      <w:numId w:val="14"/>
                    </w:numPr>
                    <w:suppressAutoHyphens w:val="0"/>
                    <w:jc w:val="both"/>
                  </w:pPr>
                  <w:r w:rsidRPr="00454F35">
                    <w:t>valstybinės reikšmės rajoninio kelio Nr. 1942 Privažiuojamasis kelias prie Domeikavos nuo kelio Vilijampolė–Žeimiai–Šėta ruožo nuo 0,029 iki 2,440 km kapitalinis remontas.</w:t>
                  </w:r>
                </w:p>
                <w:p w14:paraId="4352FF77" w14:textId="77777777" w:rsidR="00454F35" w:rsidRPr="00454F35" w:rsidRDefault="00454F35" w:rsidP="00C03E9D">
                  <w:pPr>
                    <w:ind w:left="670"/>
                    <w:jc w:val="both"/>
                    <w:rPr>
                      <w:lang w:val="lt-LT"/>
                    </w:rPr>
                  </w:pPr>
                  <w:r w:rsidRPr="00454F35">
                    <w:rPr>
                      <w:lang w:val="lt-LT"/>
                    </w:rPr>
                    <w:t>Dėl aukščiau minimų projektų dokumentacijos, reikalingos tinkamiems kelio Nr. 222 ruožo nuo 8,113 iki 10,905 km rekonstravimo sprendiniams parengti, kreiptis į  statytoją.</w:t>
                  </w:r>
                </w:p>
                <w:p w14:paraId="621F6147" w14:textId="77777777" w:rsidR="00454F35" w:rsidRPr="00454F35" w:rsidRDefault="00454F35" w:rsidP="00C03E9D">
                  <w:pPr>
                    <w:ind w:left="670"/>
                    <w:jc w:val="both"/>
                    <w:rPr>
                      <w:color w:val="FF0000"/>
                      <w:lang w:val="lt-LT"/>
                    </w:rPr>
                  </w:pPr>
                </w:p>
              </w:tc>
            </w:tr>
          </w:tbl>
          <w:p w14:paraId="07473ED1" w14:textId="77777777" w:rsidR="00454F35" w:rsidRPr="00454F35" w:rsidRDefault="00454F35" w:rsidP="00C03E9D">
            <w:pPr>
              <w:jc w:val="both"/>
              <w:rPr>
                <w:color w:val="FF0000"/>
                <w:lang w:val="lt-LT"/>
              </w:rPr>
            </w:pPr>
          </w:p>
        </w:tc>
        <w:tc>
          <w:tcPr>
            <w:tcW w:w="707" w:type="dxa"/>
          </w:tcPr>
          <w:p w14:paraId="53417F1D" w14:textId="77777777" w:rsidR="00454F35" w:rsidRPr="00454F35" w:rsidRDefault="00454F35" w:rsidP="00C03E9D">
            <w:pPr>
              <w:pStyle w:val="EmptyCellLayoutStyle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454F35" w:rsidRPr="00454F35" w14:paraId="763819D8" w14:textId="77777777" w:rsidTr="00C03E9D">
        <w:tc>
          <w:tcPr>
            <w:tcW w:w="277" w:type="dxa"/>
          </w:tcPr>
          <w:p w14:paraId="77F335AC" w14:textId="77777777" w:rsidR="00454F35" w:rsidRPr="00454F35" w:rsidRDefault="00454F35" w:rsidP="00C03E9D">
            <w:pPr>
              <w:pStyle w:val="EmptyCellLayoutStyle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46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1"/>
            </w:tblGrid>
            <w:tr w:rsidR="00454F35" w:rsidRPr="00454F35" w14:paraId="01439647" w14:textId="77777777" w:rsidTr="00C03E9D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5F0B5C" w14:textId="77777777" w:rsidR="00454F35" w:rsidRPr="00454F35" w:rsidRDefault="00454F35" w:rsidP="00C03E9D">
                  <w:pPr>
                    <w:rPr>
                      <w:lang w:val="lt-LT"/>
                    </w:rPr>
                  </w:pPr>
                  <w:r w:rsidRPr="00454F35">
                    <w:rPr>
                      <w:b/>
                      <w:lang w:val="lt-LT"/>
                    </w:rPr>
                    <w:t>11. Projektuojant vadovautis šiais dokumentais:</w:t>
                  </w:r>
                </w:p>
              </w:tc>
            </w:tr>
            <w:tr w:rsidR="00454F35" w:rsidRPr="00454F35" w14:paraId="35B53BFA" w14:textId="77777777" w:rsidTr="00C03E9D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E8CAB5" w14:textId="77777777" w:rsidR="00454F35" w:rsidRPr="00454F35" w:rsidRDefault="00454F35" w:rsidP="00C03E9D">
                  <w:pPr>
                    <w:ind w:left="720" w:hanging="360"/>
                    <w:jc w:val="both"/>
                    <w:rPr>
                      <w:lang w:val="lt-LT"/>
                    </w:rPr>
                  </w:pPr>
                  <w:r w:rsidRPr="00454F35">
                    <w:rPr>
                      <w:i/>
                      <w:lang w:val="lt-LT"/>
                    </w:rPr>
                    <w:t xml:space="preserve">11.1. Lietuvos Respublikos Kelių įstatymu, Lietuvos Respublikos Statybos įstatymu, kelių techniniu reglamentu, statybos techniniais reglamentais, higienos normomis, kitais poįstatyminiais teisės aktais:  : </w:t>
                  </w:r>
                  <w:r w:rsidRPr="00454F35">
                    <w:rPr>
                      <w:lang w:val="lt-LT"/>
                    </w:rPr>
                    <w:t xml:space="preserve"> taip;</w:t>
                  </w:r>
                </w:p>
              </w:tc>
            </w:tr>
            <w:tr w:rsidR="00454F35" w:rsidRPr="00454F35" w14:paraId="6DE75D8B" w14:textId="77777777" w:rsidTr="00C03E9D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CAA9F9" w14:textId="77777777" w:rsidR="00454F35" w:rsidRPr="00454F35" w:rsidRDefault="00454F35" w:rsidP="00C03E9D">
                  <w:pPr>
                    <w:ind w:left="720" w:hanging="360"/>
                    <w:jc w:val="both"/>
                    <w:rPr>
                      <w:lang w:val="lt-LT"/>
                    </w:rPr>
                  </w:pPr>
                  <w:r w:rsidRPr="00454F35">
                    <w:rPr>
                      <w:i/>
                      <w:lang w:val="lt-LT"/>
                    </w:rPr>
                    <w:t xml:space="preserve">11.2. kitais galiojančiais įstatymais, teisės aktais ir normatyviniais statybos techniniais dokumentais, įskaitant, bet neapsiribojant, nurodytais Akcinės bendrovės „Via Lietuva“ interneto svetainėje adresu https://vialietuva.lt/normatyviniai-dokumentai: </w:t>
                  </w:r>
                  <w:r w:rsidRPr="00454F35">
                    <w:rPr>
                      <w:lang w:val="lt-LT"/>
                    </w:rPr>
                    <w:t xml:space="preserve"> taip;</w:t>
                  </w:r>
                </w:p>
              </w:tc>
            </w:tr>
            <w:tr w:rsidR="00454F35" w:rsidRPr="00454F35" w14:paraId="74808424" w14:textId="77777777" w:rsidTr="00C03E9D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FC7E27" w14:textId="77777777" w:rsidR="00454F35" w:rsidRPr="00454F35" w:rsidRDefault="00454F35" w:rsidP="00C03E9D">
                  <w:pPr>
                    <w:ind w:left="720" w:hanging="360"/>
                    <w:jc w:val="both"/>
                    <w:rPr>
                      <w:lang w:val="lt-LT"/>
                    </w:rPr>
                  </w:pPr>
                  <w:r w:rsidRPr="00454F35">
                    <w:rPr>
                      <w:i/>
                      <w:lang w:val="lt-LT"/>
                    </w:rPr>
                    <w:lastRenderedPageBreak/>
                    <w:t xml:space="preserve">11.3. projekto rengimo dokumentais: </w:t>
                  </w:r>
                  <w:r w:rsidRPr="00454F35">
                    <w:rPr>
                      <w:lang w:val="lt-LT"/>
                    </w:rPr>
                    <w:t xml:space="preserve"> taip;</w:t>
                  </w:r>
                </w:p>
              </w:tc>
            </w:tr>
            <w:tr w:rsidR="00454F35" w:rsidRPr="00454F35" w14:paraId="035942BC" w14:textId="77777777" w:rsidTr="00C03E9D">
              <w:trPr>
                <w:trHeight w:val="48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5A6174" w14:textId="77777777" w:rsidR="00454F35" w:rsidRPr="00454F35" w:rsidRDefault="00454F35" w:rsidP="00C03E9D">
                  <w:pPr>
                    <w:ind w:left="720" w:hanging="360"/>
                    <w:jc w:val="both"/>
                    <w:rPr>
                      <w:lang w:val="lt-LT"/>
                    </w:rPr>
                  </w:pPr>
                  <w:r w:rsidRPr="00454F35">
                    <w:rPr>
                      <w:i/>
                      <w:lang w:val="lt-LT"/>
                    </w:rPr>
                    <w:t xml:space="preserve">11.4. prisijungimo sąlygomis: </w:t>
                  </w:r>
                  <w:r w:rsidRPr="00454F35">
                    <w:rPr>
                      <w:lang w:val="lt-LT"/>
                    </w:rPr>
                    <w:t xml:space="preserve"> taip.</w:t>
                  </w:r>
                </w:p>
              </w:tc>
            </w:tr>
          </w:tbl>
          <w:p w14:paraId="1261E47E" w14:textId="77777777" w:rsidR="00454F35" w:rsidRPr="00454F35" w:rsidRDefault="00454F35" w:rsidP="00C03E9D">
            <w:pPr>
              <w:rPr>
                <w:color w:val="FF0000"/>
                <w:lang w:val="lt-LT"/>
              </w:rPr>
            </w:pPr>
          </w:p>
        </w:tc>
        <w:tc>
          <w:tcPr>
            <w:tcW w:w="707" w:type="dxa"/>
          </w:tcPr>
          <w:p w14:paraId="50876B9C" w14:textId="77777777" w:rsidR="00454F35" w:rsidRPr="00454F35" w:rsidRDefault="00454F35" w:rsidP="00C03E9D">
            <w:pPr>
              <w:pStyle w:val="EmptyCellLayoutStyle"/>
              <w:spacing w:line="240" w:lineRule="auto"/>
              <w:rPr>
                <w:sz w:val="24"/>
                <w:szCs w:val="24"/>
              </w:rPr>
            </w:pPr>
          </w:p>
        </w:tc>
      </w:tr>
      <w:tr w:rsidR="00454F35" w:rsidRPr="00454F35" w14:paraId="3F423274" w14:textId="77777777" w:rsidTr="00C03E9D">
        <w:tc>
          <w:tcPr>
            <w:tcW w:w="277" w:type="dxa"/>
          </w:tcPr>
          <w:p w14:paraId="614477B7" w14:textId="77777777" w:rsidR="00454F35" w:rsidRPr="00454F35" w:rsidRDefault="00454F35" w:rsidP="00C03E9D">
            <w:pPr>
              <w:pStyle w:val="EmptyCellLayoutStyle"/>
              <w:spacing w:line="240" w:lineRule="auto"/>
              <w:rPr>
                <w:sz w:val="24"/>
                <w:szCs w:val="24"/>
              </w:rPr>
            </w:pPr>
            <w:r w:rsidRPr="00454F35">
              <w:rPr>
                <w:sz w:val="24"/>
                <w:szCs w:val="24"/>
              </w:rPr>
              <w:br w:type="page"/>
            </w:r>
          </w:p>
        </w:tc>
        <w:tc>
          <w:tcPr>
            <w:tcW w:w="20" w:type="dxa"/>
          </w:tcPr>
          <w:p w14:paraId="1AB19840" w14:textId="77777777" w:rsidR="00454F35" w:rsidRPr="00454F35" w:rsidRDefault="00454F35" w:rsidP="00C03E9D">
            <w:pPr>
              <w:pStyle w:val="EmptyCellLayoutStyle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44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1"/>
            </w:tblGrid>
            <w:tr w:rsidR="00454F35" w:rsidRPr="00454F35" w14:paraId="3E0532CD" w14:textId="77777777" w:rsidTr="00C03E9D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2A2A90E4" w14:textId="77777777" w:rsidR="00454F35" w:rsidRPr="00454F35" w:rsidRDefault="00454F35" w:rsidP="00C03E9D">
                  <w:pPr>
                    <w:rPr>
                      <w:lang w:val="lt-LT"/>
                    </w:rPr>
                  </w:pPr>
                  <w:r w:rsidRPr="00454F35">
                    <w:rPr>
                      <w:b/>
                      <w:lang w:val="lt-LT"/>
                    </w:rPr>
                    <w:t xml:space="preserve">12. Finansavimo šaltinis:  </w:t>
                  </w:r>
                  <w:r w:rsidRPr="00454F35">
                    <w:rPr>
                      <w:lang w:val="lt-LT"/>
                    </w:rPr>
                    <w:t>Kauno rajono savivaldybės biudžeto lėšos; Kelių priežiūros ir plėtros programos lėšos.</w:t>
                  </w:r>
                </w:p>
              </w:tc>
            </w:tr>
            <w:tr w:rsidR="00454F35" w:rsidRPr="00454F35" w14:paraId="45C84F8E" w14:textId="77777777" w:rsidTr="00C03E9D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687AB03F" w14:textId="77777777" w:rsidR="00454F35" w:rsidRPr="00454F35" w:rsidRDefault="00454F35" w:rsidP="00C03E9D">
                  <w:pPr>
                    <w:rPr>
                      <w:b/>
                      <w:lang w:val="lt-LT"/>
                    </w:rPr>
                  </w:pPr>
                  <w:r w:rsidRPr="00454F35">
                    <w:rPr>
                      <w:b/>
                      <w:lang w:val="lt-LT"/>
                    </w:rPr>
                    <w:t xml:space="preserve">13. Projekto apimtis:  </w:t>
                  </w:r>
                  <w:r w:rsidRPr="00454F35">
                    <w:rPr>
                      <w:lang w:val="lt-LT"/>
                    </w:rPr>
                    <w:t>Pagal STR 1.04.04:2017 „Statinio projektavimas, projekto ekspertizė“.</w:t>
                  </w:r>
                </w:p>
              </w:tc>
            </w:tr>
            <w:tr w:rsidR="00454F35" w:rsidRPr="00454F35" w14:paraId="26A2F885" w14:textId="77777777" w:rsidTr="00C03E9D">
              <w:trPr>
                <w:trHeight w:val="428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30A0DF4A" w14:textId="77777777" w:rsidR="00454F35" w:rsidRPr="00454F35" w:rsidRDefault="00454F35" w:rsidP="00C03E9D">
                  <w:pPr>
                    <w:jc w:val="both"/>
                    <w:rPr>
                      <w:lang w:val="lt-LT"/>
                    </w:rPr>
                  </w:pPr>
                  <w:r w:rsidRPr="00454F35">
                    <w:rPr>
                      <w:b/>
                      <w:lang w:val="lt-LT"/>
                    </w:rPr>
                    <w:t xml:space="preserve">14. Papildomos paslaugos (paslaugos, deleguotos Statytojo (Užsakovo) projektuotojui): </w:t>
                  </w:r>
                  <w:r w:rsidRPr="00454F35">
                    <w:rPr>
                      <w:lang w:val="lt-LT"/>
                    </w:rPr>
                    <w:t xml:space="preserve"> Atlikti kitas papildomas paslaugas kaip tai numato Techninė specifikacija ir Sutarties sąlygos.</w:t>
                  </w:r>
                </w:p>
              </w:tc>
            </w:tr>
            <w:tr w:rsidR="00454F35" w:rsidRPr="00454F35" w14:paraId="61E98C64" w14:textId="77777777" w:rsidTr="00C03E9D">
              <w:trPr>
                <w:trHeight w:val="20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5524C99A" w14:textId="77777777" w:rsidR="00454F35" w:rsidRPr="00454F35" w:rsidRDefault="00454F35" w:rsidP="00C03E9D">
                  <w:pPr>
                    <w:rPr>
                      <w:b/>
                      <w:lang w:val="lt-LT"/>
                    </w:rPr>
                  </w:pPr>
                  <w:r w:rsidRPr="00454F35">
                    <w:rPr>
                      <w:b/>
                      <w:lang w:val="lt-LT"/>
                    </w:rPr>
                    <w:t>15. Su šia užduotimi pateikiami Statytojo privalomieji ir kiti dokumentai projektui rengti bei šių dokumentų pateikimo laikotarpis:</w:t>
                  </w:r>
                </w:p>
                <w:p w14:paraId="7F56F720" w14:textId="4F338BE2" w:rsidR="00454F35" w:rsidRPr="00454F35" w:rsidRDefault="00454F35" w:rsidP="00C03E9D">
                  <w:pPr>
                    <w:rPr>
                      <w:lang w:val="lt-LT"/>
                    </w:rPr>
                  </w:pPr>
                  <w:r w:rsidRPr="00454F35">
                    <w:rPr>
                      <w:lang w:val="lt-LT"/>
                    </w:rPr>
                    <w:t>Priedas Nr. 1. Techninė specifikacija (Statytojo</w:t>
                  </w:r>
                  <w:r>
                    <w:rPr>
                      <w:lang w:val="lt-LT"/>
                    </w:rPr>
                    <w:t xml:space="preserve"> reikalavimai</w:t>
                  </w:r>
                  <w:r w:rsidRPr="00454F35">
                    <w:rPr>
                      <w:lang w:val="lt-LT"/>
                    </w:rPr>
                    <w:t>).</w:t>
                  </w:r>
                </w:p>
                <w:p w14:paraId="46539331" w14:textId="77777777" w:rsidR="00454F35" w:rsidRPr="00454F35" w:rsidRDefault="00454F35" w:rsidP="00C03E9D">
                  <w:pPr>
                    <w:rPr>
                      <w:lang w:val="lt-LT"/>
                    </w:rPr>
                  </w:pPr>
                  <w:r w:rsidRPr="00454F35">
                    <w:rPr>
                      <w:lang w:val="lt-LT"/>
                    </w:rPr>
                    <w:t>Priedas Nr. 2. Prašymo forma „Dėl ekspertizės atlikimo“.</w:t>
                  </w:r>
                </w:p>
                <w:p w14:paraId="0F428F5A" w14:textId="77777777" w:rsidR="00454F35" w:rsidRPr="00454F35" w:rsidRDefault="00454F35" w:rsidP="00C03E9D">
                  <w:pPr>
                    <w:rPr>
                      <w:lang w:val="lt-LT"/>
                    </w:rPr>
                  </w:pPr>
                  <w:r w:rsidRPr="00454F35">
                    <w:rPr>
                      <w:lang w:val="lt-LT"/>
                    </w:rPr>
                    <w:t>Priedas Nr. 3. Prašymo forma „Dėl projekto perdavimo statytojo (užsakovo) tvirtinimui“.</w:t>
                  </w:r>
                </w:p>
                <w:p w14:paraId="07822D4A" w14:textId="77777777" w:rsidR="00454F35" w:rsidRPr="00454F35" w:rsidRDefault="00454F35" w:rsidP="00C03E9D">
                  <w:pPr>
                    <w:rPr>
                      <w:lang w:val="lt-LT"/>
                    </w:rPr>
                  </w:pPr>
                  <w:r w:rsidRPr="00454F35">
                    <w:rPr>
                      <w:lang w:val="lt-LT"/>
                    </w:rPr>
                    <w:t>Priedas Nr. 4. Prašymo forma „Dėl projekto perdavimo po rangos darbų pirkimo“.</w:t>
                  </w:r>
                </w:p>
                <w:p w14:paraId="28102F33" w14:textId="77777777" w:rsidR="00454F35" w:rsidRPr="00454F35" w:rsidRDefault="00454F35" w:rsidP="00C03E9D">
                  <w:pPr>
                    <w:rPr>
                      <w:lang w:val="lt-LT"/>
                    </w:rPr>
                  </w:pPr>
                  <w:r w:rsidRPr="00454F35">
                    <w:rPr>
                      <w:lang w:val="lt-LT"/>
                    </w:rPr>
                    <w:t>Priedas Nr. 5. Bendrųjų statinio rodiklių forma.</w:t>
                  </w:r>
                </w:p>
                <w:p w14:paraId="0FEF7DAA" w14:textId="77777777" w:rsidR="00454F35" w:rsidRPr="00454F35" w:rsidRDefault="00454F35" w:rsidP="00C03E9D">
                  <w:pPr>
                    <w:rPr>
                      <w:lang w:val="lt-LT"/>
                    </w:rPr>
                  </w:pPr>
                  <w:r w:rsidRPr="00454F35">
                    <w:rPr>
                      <w:lang w:val="lt-LT"/>
                    </w:rPr>
                    <w:t>Priedas Nr. 6. Statinio fizinių rodiklių sąrašas.</w:t>
                  </w:r>
                </w:p>
                <w:p w14:paraId="71B496D5" w14:textId="77777777" w:rsidR="00454F35" w:rsidRPr="00454F35" w:rsidRDefault="00454F35" w:rsidP="00C03E9D">
                  <w:pPr>
                    <w:jc w:val="both"/>
                    <w:rPr>
                      <w:lang w:val="lt-LT"/>
                    </w:rPr>
                  </w:pPr>
                  <w:r w:rsidRPr="00454F35">
                    <w:rPr>
                      <w:lang w:val="lt-LT"/>
                    </w:rPr>
                    <w:t>Priedas Nr. 7. Naujų projektų laidų parengimo gairės.</w:t>
                  </w:r>
                </w:p>
                <w:p w14:paraId="380B4C6F" w14:textId="77777777" w:rsidR="00454F35" w:rsidRPr="00454F35" w:rsidRDefault="00454F35" w:rsidP="00C03E9D">
                  <w:pPr>
                    <w:jc w:val="both"/>
                    <w:rPr>
                      <w:lang w:val="lt-LT"/>
                    </w:rPr>
                  </w:pPr>
                  <w:r w:rsidRPr="00454F35">
                    <w:rPr>
                      <w:lang w:val="lt-LT"/>
                    </w:rPr>
                    <w:t>Priedas Nr. 8. Reikalavimai žiniaraščiams.</w:t>
                  </w:r>
                </w:p>
                <w:p w14:paraId="24801D1C" w14:textId="77777777" w:rsidR="00454F35" w:rsidRPr="00454F35" w:rsidRDefault="00454F35" w:rsidP="00C03E9D">
                  <w:pPr>
                    <w:jc w:val="both"/>
                    <w:rPr>
                      <w:lang w:val="lt-LT"/>
                    </w:rPr>
                  </w:pPr>
                  <w:r w:rsidRPr="00454F35">
                    <w:rPr>
                      <w:lang w:val="lt-LT"/>
                    </w:rPr>
                    <w:t>Priedas Nr. 9. Reikalavimai šviesoforais reguliuojamų perėjų ir sankryžų projektavimui.</w:t>
                  </w:r>
                </w:p>
              </w:tc>
            </w:tr>
            <w:tr w:rsidR="00454F35" w:rsidRPr="00454F35" w14:paraId="11230E8B" w14:textId="77777777" w:rsidTr="00C03E9D">
              <w:trPr>
                <w:trHeight w:val="20"/>
              </w:trPr>
              <w:tc>
                <w:tcPr>
                  <w:tcW w:w="97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99" w:type="dxa"/>
                    <w:right w:w="39" w:type="dxa"/>
                  </w:tcMar>
                  <w:vAlign w:val="center"/>
                </w:tcPr>
                <w:p w14:paraId="57BBD4A2" w14:textId="77777777" w:rsidR="00454F35" w:rsidRPr="00454F35" w:rsidRDefault="00454F35" w:rsidP="00C03E9D">
                  <w:pPr>
                    <w:ind w:left="357" w:hanging="357"/>
                    <w:rPr>
                      <w:b/>
                      <w:lang w:val="lt-LT"/>
                    </w:rPr>
                  </w:pPr>
                  <w:r w:rsidRPr="00454F35">
                    <w:rPr>
                      <w:b/>
                      <w:lang w:val="lt-LT"/>
                    </w:rPr>
                    <w:t>16. Žemės sklypo statinio teisinės registracijos Nekilnojamojo turto registre duomenys:</w:t>
                  </w:r>
                </w:p>
                <w:p w14:paraId="5BD931CD" w14:textId="77777777" w:rsidR="00454F35" w:rsidRPr="00454F35" w:rsidRDefault="00454F35" w:rsidP="00C03E9D">
                  <w:pPr>
                    <w:jc w:val="both"/>
                    <w:rPr>
                      <w:lang w:val="lt-LT"/>
                    </w:rPr>
                  </w:pPr>
                  <w:r w:rsidRPr="00454F35">
                    <w:rPr>
                      <w:lang w:val="lt-LT"/>
                    </w:rPr>
                    <w:t>Žemės sklypo unikalus numeris: 4400-2800-8753 (Nr.222); 4400-2067-3814 (Nr.1942).</w:t>
                  </w:r>
                </w:p>
                <w:p w14:paraId="36587557" w14:textId="77777777" w:rsidR="00454F35" w:rsidRPr="00454F35" w:rsidRDefault="00454F35" w:rsidP="00C03E9D">
                  <w:pPr>
                    <w:jc w:val="both"/>
                    <w:rPr>
                      <w:lang w:val="lt-LT"/>
                    </w:rPr>
                  </w:pPr>
                  <w:r w:rsidRPr="00454F35">
                    <w:rPr>
                      <w:lang w:val="lt-LT"/>
                    </w:rPr>
                    <w:t>Inžinerinio statinio unikalus numeris: 4400-2477-3164 (Nr.222-kelias); 4400-1957-3841 (Nr.222-takas); 4400-1994-8753 (Nr.1942).</w:t>
                  </w:r>
                </w:p>
                <w:p w14:paraId="7A9A6BB6" w14:textId="77777777" w:rsidR="00454F35" w:rsidRPr="00454F35" w:rsidRDefault="00454F35" w:rsidP="00C03E9D">
                  <w:pPr>
                    <w:jc w:val="both"/>
                    <w:rPr>
                      <w:lang w:val="lt-LT"/>
                    </w:rPr>
                  </w:pPr>
                </w:p>
              </w:tc>
            </w:tr>
          </w:tbl>
          <w:p w14:paraId="08F1B3DB" w14:textId="77777777" w:rsidR="00454F35" w:rsidRPr="00454F35" w:rsidRDefault="00454F35" w:rsidP="00C03E9D">
            <w:pPr>
              <w:rPr>
                <w:color w:val="FF0000"/>
                <w:lang w:val="lt-LT"/>
              </w:rPr>
            </w:pPr>
          </w:p>
        </w:tc>
        <w:tc>
          <w:tcPr>
            <w:tcW w:w="707" w:type="dxa"/>
          </w:tcPr>
          <w:p w14:paraId="3B8D855E" w14:textId="77777777" w:rsidR="00454F35" w:rsidRPr="00454F35" w:rsidRDefault="00454F35" w:rsidP="00C03E9D">
            <w:pPr>
              <w:pStyle w:val="EmptyCellLayoutStyle"/>
              <w:spacing w:line="240" w:lineRule="auto"/>
              <w:rPr>
                <w:sz w:val="24"/>
                <w:szCs w:val="24"/>
              </w:rPr>
            </w:pPr>
          </w:p>
        </w:tc>
      </w:tr>
    </w:tbl>
    <w:p w14:paraId="699654AB" w14:textId="77777777" w:rsidR="00454F35" w:rsidRPr="00454F35" w:rsidRDefault="00454F35" w:rsidP="00454F35">
      <w:pPr>
        <w:rPr>
          <w:lang w:val="lt-LT"/>
        </w:rPr>
      </w:pPr>
    </w:p>
    <w:p w14:paraId="68B16855" w14:textId="1F5F7254" w:rsidR="00403125" w:rsidRPr="00454F35" w:rsidRDefault="00403125">
      <w:pPr>
        <w:rPr>
          <w:rStyle w:val="s10"/>
          <w:rFonts w:eastAsia="Times New Roman"/>
          <w:sz w:val="22"/>
          <w:szCs w:val="22"/>
          <w:bdr w:val="none" w:sz="0" w:space="0" w:color="auto"/>
          <w:lang w:val="lt-LT"/>
        </w:rPr>
      </w:pPr>
    </w:p>
    <w:sectPr w:rsidR="00403125" w:rsidRPr="00454F35">
      <w:headerReference w:type="default" r:id="rId8"/>
      <w:footerReference w:type="default" r:id="rId9"/>
      <w:pgSz w:w="11900" w:h="16840"/>
      <w:pgMar w:top="1440" w:right="1200" w:bottom="144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17825" w14:textId="77777777" w:rsidR="008A5F2D" w:rsidRDefault="008A5F2D">
      <w:r>
        <w:separator/>
      </w:r>
    </w:p>
  </w:endnote>
  <w:endnote w:type="continuationSeparator" w:id="0">
    <w:p w14:paraId="081565CB" w14:textId="77777777" w:rsidR="008A5F2D" w:rsidRDefault="008A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UltraLight">
    <w:altName w:val="HELVETICA NEUE ULTRALIGHT"/>
    <w:panose1 w:val="02000206000000020004"/>
    <w:charset w:val="00"/>
    <w:family w:val="auto"/>
    <w:pitch w:val="variable"/>
    <w:sig w:usb0="A00002FF" w:usb1="5000205B" w:usb2="00000002" w:usb3="00000000" w:csb0="00000001" w:csb1="00000000"/>
  </w:font>
  <w:font w:name="Helvetica Neue Medium">
    <w:altName w:val="HELVETICA NEUE MEDIUM"/>
    <w:panose1 w:val="020B0604020202020204"/>
    <w:charset w:val="4D"/>
    <w:family w:val="swiss"/>
    <w:pitch w:val="variable"/>
    <w:sig w:usb0="A00002FF" w:usb1="5000205B" w:usb2="00000002" w:usb3="00000000" w:csb0="0000009B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65B4C" w14:textId="77777777" w:rsidR="00424A05" w:rsidRDefault="008F59A1">
    <w:pPr>
      <w:pStyle w:val="HeaderFooter"/>
      <w:tabs>
        <w:tab w:val="clear" w:pos="9020"/>
        <w:tab w:val="center" w:pos="4750"/>
        <w:tab w:val="right" w:pos="9500"/>
      </w:tabs>
    </w:pP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  <w:proofErr w:type="spellStart"/>
    <w:r>
      <w:rPr>
        <w:rFonts w:ascii="Times New Roman" w:hAnsi="Times New Roman"/>
        <w:sz w:val="18"/>
        <w:szCs w:val="18"/>
      </w:rPr>
      <w:t>Puslapis</w:t>
    </w:r>
    <w:proofErr w:type="spellEnd"/>
    <w:r>
      <w:rPr>
        <w:rFonts w:ascii="Times New Roman" w:hAnsi="Times New Roman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sz w:val="18"/>
        <w:szCs w:val="18"/>
      </w:rPr>
      <w:instrText xml:space="preserve"> PAGE </w:instrText>
    </w:r>
    <w:r>
      <w:rPr>
        <w:rFonts w:ascii="Times New Roman" w:eastAsia="Times New Roman" w:hAnsi="Times New Roman" w:cs="Times New Roman"/>
        <w:sz w:val="18"/>
        <w:szCs w:val="18"/>
      </w:rPr>
      <w:fldChar w:fldCharType="separate"/>
    </w:r>
    <w:r w:rsidR="00E13A4F">
      <w:rPr>
        <w:rFonts w:ascii="Times New Roman" w:eastAsia="Times New Roman" w:hAnsi="Times New Roman" w:cs="Times New Roman"/>
        <w:noProof/>
        <w:sz w:val="18"/>
        <w:szCs w:val="18"/>
      </w:rPr>
      <w:t>1</w:t>
    </w:r>
    <w:r>
      <w:rPr>
        <w:rFonts w:ascii="Times New Roman" w:eastAsia="Times New Roman" w:hAnsi="Times New Roman" w:cs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</w:t>
    </w:r>
    <w:proofErr w:type="spellStart"/>
    <w:r>
      <w:rPr>
        <w:rFonts w:ascii="Times New Roman" w:hAnsi="Times New Roman"/>
        <w:sz w:val="18"/>
        <w:szCs w:val="18"/>
      </w:rPr>
      <w:t>iš</w:t>
    </w:r>
    <w:proofErr w:type="spellEnd"/>
    <w:r>
      <w:rPr>
        <w:rFonts w:ascii="Times New Roman" w:hAnsi="Times New Roman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sz w:val="18"/>
        <w:szCs w:val="18"/>
      </w:rPr>
      <w:instrText xml:space="preserve"> NUMPAGES </w:instrText>
    </w:r>
    <w:r>
      <w:rPr>
        <w:rFonts w:ascii="Times New Roman" w:eastAsia="Times New Roman" w:hAnsi="Times New Roman" w:cs="Times New Roman"/>
        <w:sz w:val="18"/>
        <w:szCs w:val="18"/>
      </w:rPr>
      <w:fldChar w:fldCharType="separate"/>
    </w:r>
    <w:r w:rsidR="00E13A4F">
      <w:rPr>
        <w:rFonts w:ascii="Times New Roman" w:eastAsia="Times New Roman" w:hAnsi="Times New Roman" w:cs="Times New Roman"/>
        <w:noProof/>
        <w:sz w:val="18"/>
        <w:szCs w:val="18"/>
      </w:rPr>
      <w:t>1</w:t>
    </w:r>
    <w:r>
      <w:rPr>
        <w:rFonts w:ascii="Times New Roman" w:eastAsia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F41B8" w14:textId="77777777" w:rsidR="008A5F2D" w:rsidRDefault="008A5F2D">
      <w:r>
        <w:separator/>
      </w:r>
    </w:p>
  </w:footnote>
  <w:footnote w:type="continuationSeparator" w:id="0">
    <w:p w14:paraId="269C150D" w14:textId="77777777" w:rsidR="008A5F2D" w:rsidRDefault="008A5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39AE1" w14:textId="77777777" w:rsidR="00424A05" w:rsidRDefault="008F59A1">
    <w:r>
      <w:rPr>
        <w:noProof/>
        <w:lang w:val="lt-LT" w:eastAsia="lt-LT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EC9825C" wp14:editId="439AF8D6">
              <wp:simplePos x="0" y="0"/>
              <wp:positionH relativeFrom="page">
                <wp:posOffset>762000</wp:posOffset>
              </wp:positionH>
              <wp:positionV relativeFrom="page">
                <wp:posOffset>723881</wp:posOffset>
              </wp:positionV>
              <wp:extent cx="6029665" cy="19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29665" cy="19"/>
                      </a:xfrm>
                      <a:prstGeom prst="line">
                        <a:avLst/>
                      </a:prstGeom>
                      <a:noFill/>
                      <a:ln w="25400" cap="flat">
                        <a:solidFill>
                          <a:srgbClr val="535F65"/>
                        </a:solidFill>
                        <a:prstDash val="solid"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style="visibility:visible;position:absolute;margin-left:60.0pt;margin-top:57.0pt;width:474.8pt;height:0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flip:y;">
              <v:fill on="f"/>
              <v:stroke filltype="solid" color="#535F65" opacity="100.0%" weight="2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26A4DA7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F118F"/>
    <w:multiLevelType w:val="multilevel"/>
    <w:tmpl w:val="018EF9D4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302FC4"/>
    <w:multiLevelType w:val="multilevel"/>
    <w:tmpl w:val="E9760070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B0675C"/>
    <w:multiLevelType w:val="multilevel"/>
    <w:tmpl w:val="E9760070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38140B"/>
    <w:multiLevelType w:val="multilevel"/>
    <w:tmpl w:val="2D186E36"/>
    <w:name w:val="Numbered list 17"/>
    <w:lvl w:ilvl="0">
      <w:start w:val="6"/>
      <w:numFmt w:val="decimal"/>
      <w:lvlText w:val="%1."/>
      <w:lvlJc w:val="left"/>
      <w:pPr>
        <w:ind w:left="0" w:firstLine="0"/>
      </w:pPr>
      <w:rPr>
        <w:b/>
        <w:bCs/>
      </w:rPr>
    </w:lvl>
    <w:lvl w:ilvl="1">
      <w:start w:val="1"/>
      <w:numFmt w:val="decimal"/>
      <w:lvlText w:val="%1.%2."/>
      <w:lvlJc w:val="left"/>
      <w:pPr>
        <w:ind w:left="0" w:firstLine="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568" w:firstLine="0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080" w:firstLine="0"/>
      </w:pPr>
      <w:rPr>
        <w:b w:val="0"/>
        <w:bCs/>
      </w:r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5" w15:restartNumberingAfterBreak="0">
    <w:nsid w:val="1B8C096D"/>
    <w:multiLevelType w:val="hybridMultilevel"/>
    <w:tmpl w:val="7C8CA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07FF8"/>
    <w:multiLevelType w:val="multilevel"/>
    <w:tmpl w:val="AF9438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3215D6B"/>
    <w:multiLevelType w:val="hybridMultilevel"/>
    <w:tmpl w:val="2CAAE2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771BE2"/>
    <w:multiLevelType w:val="hybridMultilevel"/>
    <w:tmpl w:val="D8A0EF92"/>
    <w:lvl w:ilvl="0" w:tplc="0427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9" w15:restartNumberingAfterBreak="0">
    <w:nsid w:val="4D07525C"/>
    <w:multiLevelType w:val="hybridMultilevel"/>
    <w:tmpl w:val="9C5052C6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4F9B45C0"/>
    <w:multiLevelType w:val="multilevel"/>
    <w:tmpl w:val="16DA312E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9936934"/>
    <w:multiLevelType w:val="hybridMultilevel"/>
    <w:tmpl w:val="EB8A9060"/>
    <w:lvl w:ilvl="0" w:tplc="A874F490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D00EF"/>
    <w:multiLevelType w:val="multilevel"/>
    <w:tmpl w:val="E9760070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5FD39A0"/>
    <w:multiLevelType w:val="hybridMultilevel"/>
    <w:tmpl w:val="BD785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8959906">
    <w:abstractNumId w:val="6"/>
  </w:num>
  <w:num w:numId="2" w16cid:durableId="1847093697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6120328">
    <w:abstractNumId w:val="0"/>
  </w:num>
  <w:num w:numId="4" w16cid:durableId="1033311336">
    <w:abstractNumId w:val="10"/>
  </w:num>
  <w:num w:numId="5" w16cid:durableId="1406957463">
    <w:abstractNumId w:val="1"/>
  </w:num>
  <w:num w:numId="6" w16cid:durableId="134184497">
    <w:abstractNumId w:val="11"/>
  </w:num>
  <w:num w:numId="7" w16cid:durableId="547450990">
    <w:abstractNumId w:val="12"/>
  </w:num>
  <w:num w:numId="8" w16cid:durableId="405686053">
    <w:abstractNumId w:val="3"/>
  </w:num>
  <w:num w:numId="9" w16cid:durableId="849680377">
    <w:abstractNumId w:val="2"/>
  </w:num>
  <w:num w:numId="10" w16cid:durableId="200943362">
    <w:abstractNumId w:val="7"/>
  </w:num>
  <w:num w:numId="11" w16cid:durableId="1873808814">
    <w:abstractNumId w:val="13"/>
  </w:num>
  <w:num w:numId="12" w16cid:durableId="1048804270">
    <w:abstractNumId w:val="5"/>
  </w:num>
  <w:num w:numId="13" w16cid:durableId="564877519">
    <w:abstractNumId w:val="9"/>
  </w:num>
  <w:num w:numId="14" w16cid:durableId="2514017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A05"/>
    <w:rsid w:val="00000D0E"/>
    <w:rsid w:val="00001437"/>
    <w:rsid w:val="0000327C"/>
    <w:rsid w:val="000110E6"/>
    <w:rsid w:val="00024A91"/>
    <w:rsid w:val="00032263"/>
    <w:rsid w:val="000342BB"/>
    <w:rsid w:val="00040397"/>
    <w:rsid w:val="00041CE3"/>
    <w:rsid w:val="000430E3"/>
    <w:rsid w:val="000472C8"/>
    <w:rsid w:val="000526E4"/>
    <w:rsid w:val="000567F7"/>
    <w:rsid w:val="000601C9"/>
    <w:rsid w:val="00066DA5"/>
    <w:rsid w:val="00071B65"/>
    <w:rsid w:val="0007570B"/>
    <w:rsid w:val="0008268C"/>
    <w:rsid w:val="000867EE"/>
    <w:rsid w:val="00087DED"/>
    <w:rsid w:val="0009754F"/>
    <w:rsid w:val="000A1D1D"/>
    <w:rsid w:val="000A3E11"/>
    <w:rsid w:val="000A420A"/>
    <w:rsid w:val="000A487C"/>
    <w:rsid w:val="000A6089"/>
    <w:rsid w:val="000A60D5"/>
    <w:rsid w:val="000A6EEE"/>
    <w:rsid w:val="000B3D2B"/>
    <w:rsid w:val="000C0574"/>
    <w:rsid w:val="000C1117"/>
    <w:rsid w:val="000C1298"/>
    <w:rsid w:val="000C2659"/>
    <w:rsid w:val="000C7566"/>
    <w:rsid w:val="000D58D3"/>
    <w:rsid w:val="000E4F57"/>
    <w:rsid w:val="000F3A2F"/>
    <w:rsid w:val="00100B8D"/>
    <w:rsid w:val="00104A38"/>
    <w:rsid w:val="00107887"/>
    <w:rsid w:val="0012127E"/>
    <w:rsid w:val="00125A62"/>
    <w:rsid w:val="00131AFD"/>
    <w:rsid w:val="001356C1"/>
    <w:rsid w:val="00140E23"/>
    <w:rsid w:val="00141F86"/>
    <w:rsid w:val="001454D0"/>
    <w:rsid w:val="001508B7"/>
    <w:rsid w:val="00152720"/>
    <w:rsid w:val="00153A69"/>
    <w:rsid w:val="00154A48"/>
    <w:rsid w:val="00163480"/>
    <w:rsid w:val="00166ADE"/>
    <w:rsid w:val="00167FC3"/>
    <w:rsid w:val="001702E0"/>
    <w:rsid w:val="001715FB"/>
    <w:rsid w:val="00171F2E"/>
    <w:rsid w:val="00184609"/>
    <w:rsid w:val="00184ED0"/>
    <w:rsid w:val="00185401"/>
    <w:rsid w:val="001864AA"/>
    <w:rsid w:val="00191ED0"/>
    <w:rsid w:val="00192B39"/>
    <w:rsid w:val="00192EE3"/>
    <w:rsid w:val="0019304B"/>
    <w:rsid w:val="001938E8"/>
    <w:rsid w:val="001A7C0D"/>
    <w:rsid w:val="001B00EB"/>
    <w:rsid w:val="001C0F60"/>
    <w:rsid w:val="001C3E20"/>
    <w:rsid w:val="001D1012"/>
    <w:rsid w:val="001D46FE"/>
    <w:rsid w:val="001D613F"/>
    <w:rsid w:val="001E39B1"/>
    <w:rsid w:val="001E3C6B"/>
    <w:rsid w:val="001E4C2C"/>
    <w:rsid w:val="001E64E9"/>
    <w:rsid w:val="001F7533"/>
    <w:rsid w:val="002008C0"/>
    <w:rsid w:val="00206E67"/>
    <w:rsid w:val="002070F1"/>
    <w:rsid w:val="002126E4"/>
    <w:rsid w:val="00214A61"/>
    <w:rsid w:val="00225E1A"/>
    <w:rsid w:val="0023412A"/>
    <w:rsid w:val="002411F8"/>
    <w:rsid w:val="00243918"/>
    <w:rsid w:val="002501DC"/>
    <w:rsid w:val="00251FB9"/>
    <w:rsid w:val="00252DE9"/>
    <w:rsid w:val="00254963"/>
    <w:rsid w:val="002611B2"/>
    <w:rsid w:val="00263531"/>
    <w:rsid w:val="0026395D"/>
    <w:rsid w:val="002645BD"/>
    <w:rsid w:val="00266870"/>
    <w:rsid w:val="00270162"/>
    <w:rsid w:val="00271617"/>
    <w:rsid w:val="002748B7"/>
    <w:rsid w:val="0027708E"/>
    <w:rsid w:val="0028222C"/>
    <w:rsid w:val="00283302"/>
    <w:rsid w:val="00284BEB"/>
    <w:rsid w:val="00285610"/>
    <w:rsid w:val="00294379"/>
    <w:rsid w:val="00297F74"/>
    <w:rsid w:val="002A555B"/>
    <w:rsid w:val="002B1AAF"/>
    <w:rsid w:val="002C6320"/>
    <w:rsid w:val="002E06B2"/>
    <w:rsid w:val="002E71DD"/>
    <w:rsid w:val="002E79D9"/>
    <w:rsid w:val="002F1379"/>
    <w:rsid w:val="00300F95"/>
    <w:rsid w:val="003048EA"/>
    <w:rsid w:val="0031064C"/>
    <w:rsid w:val="00317BD5"/>
    <w:rsid w:val="003237D8"/>
    <w:rsid w:val="00325664"/>
    <w:rsid w:val="0032610F"/>
    <w:rsid w:val="00331BE1"/>
    <w:rsid w:val="00335E21"/>
    <w:rsid w:val="003422B5"/>
    <w:rsid w:val="0034579D"/>
    <w:rsid w:val="00351667"/>
    <w:rsid w:val="00362442"/>
    <w:rsid w:val="0036388D"/>
    <w:rsid w:val="00364CA4"/>
    <w:rsid w:val="00376346"/>
    <w:rsid w:val="00376C5E"/>
    <w:rsid w:val="003804E3"/>
    <w:rsid w:val="00381324"/>
    <w:rsid w:val="0039094A"/>
    <w:rsid w:val="003B29D8"/>
    <w:rsid w:val="003B36A1"/>
    <w:rsid w:val="003D09CB"/>
    <w:rsid w:val="003D4EED"/>
    <w:rsid w:val="003D4EF0"/>
    <w:rsid w:val="003E3379"/>
    <w:rsid w:val="003E40A7"/>
    <w:rsid w:val="003F29B4"/>
    <w:rsid w:val="003F2A63"/>
    <w:rsid w:val="003F4694"/>
    <w:rsid w:val="003F5C67"/>
    <w:rsid w:val="004017BB"/>
    <w:rsid w:val="00403125"/>
    <w:rsid w:val="00404A8E"/>
    <w:rsid w:val="004059DF"/>
    <w:rsid w:val="00407E63"/>
    <w:rsid w:val="004128CB"/>
    <w:rsid w:val="004135E7"/>
    <w:rsid w:val="00413AD1"/>
    <w:rsid w:val="0041509F"/>
    <w:rsid w:val="00424A05"/>
    <w:rsid w:val="00427D7F"/>
    <w:rsid w:val="004304CF"/>
    <w:rsid w:val="00440BF8"/>
    <w:rsid w:val="00443B09"/>
    <w:rsid w:val="004451CE"/>
    <w:rsid w:val="00454F35"/>
    <w:rsid w:val="004553AB"/>
    <w:rsid w:val="0045654B"/>
    <w:rsid w:val="00457F56"/>
    <w:rsid w:val="00463F5D"/>
    <w:rsid w:val="00465055"/>
    <w:rsid w:val="00466771"/>
    <w:rsid w:val="00475EF2"/>
    <w:rsid w:val="00476F5E"/>
    <w:rsid w:val="004775DC"/>
    <w:rsid w:val="004846B4"/>
    <w:rsid w:val="00490C0B"/>
    <w:rsid w:val="004A45CA"/>
    <w:rsid w:val="004A6F95"/>
    <w:rsid w:val="004B191E"/>
    <w:rsid w:val="004B4A0F"/>
    <w:rsid w:val="004B514D"/>
    <w:rsid w:val="004B5E0B"/>
    <w:rsid w:val="004C1347"/>
    <w:rsid w:val="004C1E19"/>
    <w:rsid w:val="004C3970"/>
    <w:rsid w:val="004D46CA"/>
    <w:rsid w:val="004D5AE0"/>
    <w:rsid w:val="004D5E38"/>
    <w:rsid w:val="004F1C81"/>
    <w:rsid w:val="004F1CCF"/>
    <w:rsid w:val="00503A70"/>
    <w:rsid w:val="00505A81"/>
    <w:rsid w:val="00514571"/>
    <w:rsid w:val="005147D5"/>
    <w:rsid w:val="00521443"/>
    <w:rsid w:val="00522F41"/>
    <w:rsid w:val="00523296"/>
    <w:rsid w:val="00523F95"/>
    <w:rsid w:val="005361C6"/>
    <w:rsid w:val="005375C2"/>
    <w:rsid w:val="0055514F"/>
    <w:rsid w:val="005610D8"/>
    <w:rsid w:val="00566075"/>
    <w:rsid w:val="00572146"/>
    <w:rsid w:val="005732E3"/>
    <w:rsid w:val="00582C4F"/>
    <w:rsid w:val="00584962"/>
    <w:rsid w:val="005902E4"/>
    <w:rsid w:val="00595824"/>
    <w:rsid w:val="00596C40"/>
    <w:rsid w:val="00596D3D"/>
    <w:rsid w:val="00597DFC"/>
    <w:rsid w:val="005A1935"/>
    <w:rsid w:val="005B2180"/>
    <w:rsid w:val="005B6874"/>
    <w:rsid w:val="005C1021"/>
    <w:rsid w:val="005C2DCC"/>
    <w:rsid w:val="005C30F2"/>
    <w:rsid w:val="005C3120"/>
    <w:rsid w:val="005C6BA3"/>
    <w:rsid w:val="005C7891"/>
    <w:rsid w:val="005C7A17"/>
    <w:rsid w:val="005C7D16"/>
    <w:rsid w:val="005D3A43"/>
    <w:rsid w:val="005E0AF1"/>
    <w:rsid w:val="005F4F7C"/>
    <w:rsid w:val="006047B8"/>
    <w:rsid w:val="0060563A"/>
    <w:rsid w:val="00614D80"/>
    <w:rsid w:val="00615133"/>
    <w:rsid w:val="00615274"/>
    <w:rsid w:val="006248E7"/>
    <w:rsid w:val="006337EA"/>
    <w:rsid w:val="0064377E"/>
    <w:rsid w:val="0064726C"/>
    <w:rsid w:val="00647B48"/>
    <w:rsid w:val="00651798"/>
    <w:rsid w:val="00653F52"/>
    <w:rsid w:val="00660A21"/>
    <w:rsid w:val="00661D9A"/>
    <w:rsid w:val="006746AA"/>
    <w:rsid w:val="00677082"/>
    <w:rsid w:val="00684646"/>
    <w:rsid w:val="00687C88"/>
    <w:rsid w:val="00690C1B"/>
    <w:rsid w:val="00694AF4"/>
    <w:rsid w:val="00695AB8"/>
    <w:rsid w:val="006A0C00"/>
    <w:rsid w:val="006A695E"/>
    <w:rsid w:val="006B2F91"/>
    <w:rsid w:val="006B4415"/>
    <w:rsid w:val="006C1E69"/>
    <w:rsid w:val="006C7479"/>
    <w:rsid w:val="006C757C"/>
    <w:rsid w:val="006D0DC4"/>
    <w:rsid w:val="006D2AC9"/>
    <w:rsid w:val="006D4758"/>
    <w:rsid w:val="006E2A20"/>
    <w:rsid w:val="006F25A8"/>
    <w:rsid w:val="0070412B"/>
    <w:rsid w:val="00706AB6"/>
    <w:rsid w:val="00710C96"/>
    <w:rsid w:val="00723320"/>
    <w:rsid w:val="00733D6D"/>
    <w:rsid w:val="007501A0"/>
    <w:rsid w:val="00750BC0"/>
    <w:rsid w:val="00750C73"/>
    <w:rsid w:val="00762ADD"/>
    <w:rsid w:val="00764F65"/>
    <w:rsid w:val="00771D1E"/>
    <w:rsid w:val="00772C1B"/>
    <w:rsid w:val="007745CB"/>
    <w:rsid w:val="007751F4"/>
    <w:rsid w:val="00775613"/>
    <w:rsid w:val="00777812"/>
    <w:rsid w:val="00792692"/>
    <w:rsid w:val="00796409"/>
    <w:rsid w:val="007A0974"/>
    <w:rsid w:val="007A28D5"/>
    <w:rsid w:val="007B3813"/>
    <w:rsid w:val="007B4BB3"/>
    <w:rsid w:val="007C0A43"/>
    <w:rsid w:val="007C2550"/>
    <w:rsid w:val="007C2A1A"/>
    <w:rsid w:val="007D1AFC"/>
    <w:rsid w:val="007D2CFF"/>
    <w:rsid w:val="007E4555"/>
    <w:rsid w:val="007E5C97"/>
    <w:rsid w:val="007F19A9"/>
    <w:rsid w:val="007F4467"/>
    <w:rsid w:val="007F4DEB"/>
    <w:rsid w:val="00810402"/>
    <w:rsid w:val="00810BAE"/>
    <w:rsid w:val="00814079"/>
    <w:rsid w:val="00825A63"/>
    <w:rsid w:val="00837B21"/>
    <w:rsid w:val="00837E1F"/>
    <w:rsid w:val="00850705"/>
    <w:rsid w:val="00852732"/>
    <w:rsid w:val="00853905"/>
    <w:rsid w:val="00856203"/>
    <w:rsid w:val="00857B2E"/>
    <w:rsid w:val="00857F2B"/>
    <w:rsid w:val="00861595"/>
    <w:rsid w:val="0086295E"/>
    <w:rsid w:val="00863DD5"/>
    <w:rsid w:val="008663F8"/>
    <w:rsid w:val="008673C3"/>
    <w:rsid w:val="0087087E"/>
    <w:rsid w:val="00872F3A"/>
    <w:rsid w:val="00875C65"/>
    <w:rsid w:val="008767EA"/>
    <w:rsid w:val="00880A7A"/>
    <w:rsid w:val="00883995"/>
    <w:rsid w:val="00885B82"/>
    <w:rsid w:val="008928DD"/>
    <w:rsid w:val="00896696"/>
    <w:rsid w:val="008978D4"/>
    <w:rsid w:val="008A5F2D"/>
    <w:rsid w:val="008B070F"/>
    <w:rsid w:val="008C1499"/>
    <w:rsid w:val="008C184A"/>
    <w:rsid w:val="008C2799"/>
    <w:rsid w:val="008C5ACC"/>
    <w:rsid w:val="008C6F3D"/>
    <w:rsid w:val="008D6A10"/>
    <w:rsid w:val="008E6596"/>
    <w:rsid w:val="008E6E29"/>
    <w:rsid w:val="008F109A"/>
    <w:rsid w:val="008F10E8"/>
    <w:rsid w:val="008F59A1"/>
    <w:rsid w:val="008F7532"/>
    <w:rsid w:val="008F7ED6"/>
    <w:rsid w:val="008F7FEC"/>
    <w:rsid w:val="0090104B"/>
    <w:rsid w:val="00920334"/>
    <w:rsid w:val="00921301"/>
    <w:rsid w:val="00925E91"/>
    <w:rsid w:val="00931B62"/>
    <w:rsid w:val="00931F69"/>
    <w:rsid w:val="00934968"/>
    <w:rsid w:val="0093498F"/>
    <w:rsid w:val="009352F7"/>
    <w:rsid w:val="00940F02"/>
    <w:rsid w:val="00944111"/>
    <w:rsid w:val="00945012"/>
    <w:rsid w:val="0094528D"/>
    <w:rsid w:val="00945D74"/>
    <w:rsid w:val="0094667B"/>
    <w:rsid w:val="009517EF"/>
    <w:rsid w:val="00952F2F"/>
    <w:rsid w:val="00954651"/>
    <w:rsid w:val="009578CC"/>
    <w:rsid w:val="0096165B"/>
    <w:rsid w:val="00976221"/>
    <w:rsid w:val="00983794"/>
    <w:rsid w:val="009848F6"/>
    <w:rsid w:val="00986AC5"/>
    <w:rsid w:val="00990124"/>
    <w:rsid w:val="00996EC1"/>
    <w:rsid w:val="009A0767"/>
    <w:rsid w:val="009B2E45"/>
    <w:rsid w:val="009B384B"/>
    <w:rsid w:val="009C17B1"/>
    <w:rsid w:val="009C7160"/>
    <w:rsid w:val="009C7561"/>
    <w:rsid w:val="009D0DA1"/>
    <w:rsid w:val="009D165F"/>
    <w:rsid w:val="009D4D16"/>
    <w:rsid w:val="009D5CD3"/>
    <w:rsid w:val="009D65C2"/>
    <w:rsid w:val="009E14DA"/>
    <w:rsid w:val="009E4F00"/>
    <w:rsid w:val="009E5832"/>
    <w:rsid w:val="009F0C46"/>
    <w:rsid w:val="009F6521"/>
    <w:rsid w:val="009F6829"/>
    <w:rsid w:val="009F6B27"/>
    <w:rsid w:val="00A0220B"/>
    <w:rsid w:val="00A156D3"/>
    <w:rsid w:val="00A178AF"/>
    <w:rsid w:val="00A20860"/>
    <w:rsid w:val="00A20BA7"/>
    <w:rsid w:val="00A24D0B"/>
    <w:rsid w:val="00A26916"/>
    <w:rsid w:val="00A26E51"/>
    <w:rsid w:val="00A35814"/>
    <w:rsid w:val="00A37437"/>
    <w:rsid w:val="00A407C8"/>
    <w:rsid w:val="00A415E6"/>
    <w:rsid w:val="00A51974"/>
    <w:rsid w:val="00A60076"/>
    <w:rsid w:val="00A60B4A"/>
    <w:rsid w:val="00A660B4"/>
    <w:rsid w:val="00A73A87"/>
    <w:rsid w:val="00A777F3"/>
    <w:rsid w:val="00A83DB7"/>
    <w:rsid w:val="00A867C2"/>
    <w:rsid w:val="00A91A54"/>
    <w:rsid w:val="00A926A6"/>
    <w:rsid w:val="00A941FB"/>
    <w:rsid w:val="00AA0677"/>
    <w:rsid w:val="00AA09E9"/>
    <w:rsid w:val="00AA7BC7"/>
    <w:rsid w:val="00AB1524"/>
    <w:rsid w:val="00AC14DC"/>
    <w:rsid w:val="00AC43DA"/>
    <w:rsid w:val="00AC72A7"/>
    <w:rsid w:val="00AC73D5"/>
    <w:rsid w:val="00AD0CDD"/>
    <w:rsid w:val="00AD3732"/>
    <w:rsid w:val="00AD594B"/>
    <w:rsid w:val="00AE0AF6"/>
    <w:rsid w:val="00AE0F90"/>
    <w:rsid w:val="00AE21BE"/>
    <w:rsid w:val="00AE3559"/>
    <w:rsid w:val="00AE641B"/>
    <w:rsid w:val="00B026AD"/>
    <w:rsid w:val="00B02734"/>
    <w:rsid w:val="00B06CC9"/>
    <w:rsid w:val="00B11E97"/>
    <w:rsid w:val="00B15361"/>
    <w:rsid w:val="00B2049C"/>
    <w:rsid w:val="00B23626"/>
    <w:rsid w:val="00B25A5A"/>
    <w:rsid w:val="00B27207"/>
    <w:rsid w:val="00B30CEF"/>
    <w:rsid w:val="00B33FEA"/>
    <w:rsid w:val="00B4047B"/>
    <w:rsid w:val="00B416D8"/>
    <w:rsid w:val="00B42857"/>
    <w:rsid w:val="00B46567"/>
    <w:rsid w:val="00B55509"/>
    <w:rsid w:val="00B571DF"/>
    <w:rsid w:val="00B60D7E"/>
    <w:rsid w:val="00B62570"/>
    <w:rsid w:val="00B63BB2"/>
    <w:rsid w:val="00B67890"/>
    <w:rsid w:val="00B712A5"/>
    <w:rsid w:val="00B71E47"/>
    <w:rsid w:val="00B761F0"/>
    <w:rsid w:val="00B77F61"/>
    <w:rsid w:val="00B803BA"/>
    <w:rsid w:val="00B83C8C"/>
    <w:rsid w:val="00B8512E"/>
    <w:rsid w:val="00BA2D1D"/>
    <w:rsid w:val="00BA56EE"/>
    <w:rsid w:val="00BB1A12"/>
    <w:rsid w:val="00BB1F4C"/>
    <w:rsid w:val="00BC3543"/>
    <w:rsid w:val="00BC3C44"/>
    <w:rsid w:val="00BD0DCC"/>
    <w:rsid w:val="00BD29B9"/>
    <w:rsid w:val="00BE015F"/>
    <w:rsid w:val="00BE23AB"/>
    <w:rsid w:val="00BF1F85"/>
    <w:rsid w:val="00BF2AD6"/>
    <w:rsid w:val="00BF2FF2"/>
    <w:rsid w:val="00BF3F3E"/>
    <w:rsid w:val="00C02755"/>
    <w:rsid w:val="00C06C38"/>
    <w:rsid w:val="00C13060"/>
    <w:rsid w:val="00C1338A"/>
    <w:rsid w:val="00C13F63"/>
    <w:rsid w:val="00C1547E"/>
    <w:rsid w:val="00C1774A"/>
    <w:rsid w:val="00C17780"/>
    <w:rsid w:val="00C20408"/>
    <w:rsid w:val="00C32FF7"/>
    <w:rsid w:val="00C35112"/>
    <w:rsid w:val="00C35EC5"/>
    <w:rsid w:val="00C361E3"/>
    <w:rsid w:val="00C45571"/>
    <w:rsid w:val="00C5397D"/>
    <w:rsid w:val="00C5649A"/>
    <w:rsid w:val="00C60006"/>
    <w:rsid w:val="00C63B1D"/>
    <w:rsid w:val="00C64DA1"/>
    <w:rsid w:val="00C66F8F"/>
    <w:rsid w:val="00C75380"/>
    <w:rsid w:val="00C82D08"/>
    <w:rsid w:val="00C85044"/>
    <w:rsid w:val="00C9220C"/>
    <w:rsid w:val="00C94C7B"/>
    <w:rsid w:val="00C96642"/>
    <w:rsid w:val="00CA02E9"/>
    <w:rsid w:val="00CA5DDB"/>
    <w:rsid w:val="00CA7486"/>
    <w:rsid w:val="00CB1EB7"/>
    <w:rsid w:val="00CB6464"/>
    <w:rsid w:val="00CC25FF"/>
    <w:rsid w:val="00CC2EFA"/>
    <w:rsid w:val="00CC7A08"/>
    <w:rsid w:val="00CE024B"/>
    <w:rsid w:val="00CE52F5"/>
    <w:rsid w:val="00CF026A"/>
    <w:rsid w:val="00CF08D7"/>
    <w:rsid w:val="00CF4D31"/>
    <w:rsid w:val="00CF5702"/>
    <w:rsid w:val="00CF7A23"/>
    <w:rsid w:val="00D003FD"/>
    <w:rsid w:val="00D02085"/>
    <w:rsid w:val="00D131CF"/>
    <w:rsid w:val="00D152FA"/>
    <w:rsid w:val="00D16C17"/>
    <w:rsid w:val="00D21EB6"/>
    <w:rsid w:val="00D237F0"/>
    <w:rsid w:val="00D40322"/>
    <w:rsid w:val="00D42425"/>
    <w:rsid w:val="00D42979"/>
    <w:rsid w:val="00D42AFB"/>
    <w:rsid w:val="00D56982"/>
    <w:rsid w:val="00D60766"/>
    <w:rsid w:val="00D62722"/>
    <w:rsid w:val="00D638B0"/>
    <w:rsid w:val="00D67B4F"/>
    <w:rsid w:val="00D71A6E"/>
    <w:rsid w:val="00D72DF6"/>
    <w:rsid w:val="00D745F4"/>
    <w:rsid w:val="00D8163E"/>
    <w:rsid w:val="00DA0849"/>
    <w:rsid w:val="00DB075E"/>
    <w:rsid w:val="00DB1959"/>
    <w:rsid w:val="00DB213C"/>
    <w:rsid w:val="00DB26C2"/>
    <w:rsid w:val="00DC1669"/>
    <w:rsid w:val="00DC171A"/>
    <w:rsid w:val="00DC46B6"/>
    <w:rsid w:val="00DC4A81"/>
    <w:rsid w:val="00DD09E1"/>
    <w:rsid w:val="00DD1D6F"/>
    <w:rsid w:val="00DD3B4F"/>
    <w:rsid w:val="00DD6400"/>
    <w:rsid w:val="00DE1694"/>
    <w:rsid w:val="00DE2865"/>
    <w:rsid w:val="00DE3F9D"/>
    <w:rsid w:val="00DE5DC1"/>
    <w:rsid w:val="00DF0515"/>
    <w:rsid w:val="00DF078D"/>
    <w:rsid w:val="00DF3EBA"/>
    <w:rsid w:val="00E01B6A"/>
    <w:rsid w:val="00E0212F"/>
    <w:rsid w:val="00E035AD"/>
    <w:rsid w:val="00E05200"/>
    <w:rsid w:val="00E13A4F"/>
    <w:rsid w:val="00E22951"/>
    <w:rsid w:val="00E22C73"/>
    <w:rsid w:val="00E273A7"/>
    <w:rsid w:val="00E3569D"/>
    <w:rsid w:val="00E37D92"/>
    <w:rsid w:val="00E4787F"/>
    <w:rsid w:val="00E524E2"/>
    <w:rsid w:val="00E53584"/>
    <w:rsid w:val="00E5568A"/>
    <w:rsid w:val="00E5764D"/>
    <w:rsid w:val="00E66CEF"/>
    <w:rsid w:val="00E72BDE"/>
    <w:rsid w:val="00E74C0C"/>
    <w:rsid w:val="00E75777"/>
    <w:rsid w:val="00E92EEA"/>
    <w:rsid w:val="00E96C5E"/>
    <w:rsid w:val="00EA1E84"/>
    <w:rsid w:val="00EA35B1"/>
    <w:rsid w:val="00EA6076"/>
    <w:rsid w:val="00EB35A3"/>
    <w:rsid w:val="00EB4990"/>
    <w:rsid w:val="00EB513A"/>
    <w:rsid w:val="00EB7E4A"/>
    <w:rsid w:val="00EC0260"/>
    <w:rsid w:val="00EC2ECB"/>
    <w:rsid w:val="00EC60E1"/>
    <w:rsid w:val="00EE2570"/>
    <w:rsid w:val="00EE4E45"/>
    <w:rsid w:val="00EE56DD"/>
    <w:rsid w:val="00EE5FFD"/>
    <w:rsid w:val="00EE6CB5"/>
    <w:rsid w:val="00EF227A"/>
    <w:rsid w:val="00F137A7"/>
    <w:rsid w:val="00F1438A"/>
    <w:rsid w:val="00F1741B"/>
    <w:rsid w:val="00F17AC9"/>
    <w:rsid w:val="00F22636"/>
    <w:rsid w:val="00F26A01"/>
    <w:rsid w:val="00F31AE9"/>
    <w:rsid w:val="00F32136"/>
    <w:rsid w:val="00F33E58"/>
    <w:rsid w:val="00F3509A"/>
    <w:rsid w:val="00F468EB"/>
    <w:rsid w:val="00F510A7"/>
    <w:rsid w:val="00F5294D"/>
    <w:rsid w:val="00F534E8"/>
    <w:rsid w:val="00F62D12"/>
    <w:rsid w:val="00F6374F"/>
    <w:rsid w:val="00F6456E"/>
    <w:rsid w:val="00F709B3"/>
    <w:rsid w:val="00F70E8E"/>
    <w:rsid w:val="00F80ECF"/>
    <w:rsid w:val="00F83A09"/>
    <w:rsid w:val="00F854AF"/>
    <w:rsid w:val="00F86919"/>
    <w:rsid w:val="00F9162F"/>
    <w:rsid w:val="00F91F52"/>
    <w:rsid w:val="00F96CA5"/>
    <w:rsid w:val="00FA772A"/>
    <w:rsid w:val="00FB065C"/>
    <w:rsid w:val="00FB66EA"/>
    <w:rsid w:val="00FC0B66"/>
    <w:rsid w:val="00FC3990"/>
    <w:rsid w:val="00FC6A21"/>
    <w:rsid w:val="00FC7A61"/>
    <w:rsid w:val="00FD0F5C"/>
    <w:rsid w:val="00FD7469"/>
    <w:rsid w:val="00FE404E"/>
    <w:rsid w:val="00FE4359"/>
    <w:rsid w:val="00FF1166"/>
    <w:rsid w:val="00FF5250"/>
    <w:rsid w:val="00FF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ED51E"/>
  <w15:docId w15:val="{FF0059B0-E277-7C4F-B995-3EC2712A2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2CFF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85B9C9" w:themeColor="accent1"/>
      <w:sz w:val="22"/>
      <w:szCs w:val="22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606060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ing">
    <w:name w:val="Heading"/>
    <w:next w:val="Body2"/>
    <w:pPr>
      <w:outlineLvl w:val="1"/>
    </w:pPr>
    <w:rPr>
      <w:rFonts w:cs="Arial Unicode MS"/>
      <w:b/>
      <w:bCs/>
      <w:caps/>
      <w:color w:val="444444"/>
      <w:spacing w:val="4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2">
    <w:name w:val="Body 2"/>
    <w:pPr>
      <w:suppressAutoHyphens/>
      <w:spacing w:after="40"/>
      <w:jc w:val="both"/>
    </w:pPr>
    <w:rPr>
      <w:rFonts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line="312" w:lineRule="auto"/>
    </w:pPr>
    <w:rPr>
      <w:rFonts w:ascii="Helvetica Neue Light" w:eastAsia="Helvetica Neue Light" w:hAnsi="Helvetica Neue Light" w:cs="Helvetica Neue Light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styleId="CommentReference">
    <w:name w:val="annotation reference"/>
    <w:basedOn w:val="DefaultParagraphFont"/>
    <w:uiPriority w:val="99"/>
    <w:semiHidden/>
    <w:unhideWhenUsed/>
    <w:rsid w:val="003D09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9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9C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09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09CB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B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BB2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E96C5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2943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721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ind w:left="720"/>
      <w:contextualSpacing/>
    </w:pPr>
    <w:rPr>
      <w:rFonts w:eastAsia="SimSun"/>
      <w:bdr w:val="none" w:sz="0" w:space="0" w:color="auto"/>
      <w:lang w:val="lt-LT" w:eastAsia="zh-CN"/>
    </w:rPr>
  </w:style>
  <w:style w:type="paragraph" w:customStyle="1" w:styleId="s14">
    <w:name w:val="s14"/>
    <w:basedOn w:val="Normal"/>
    <w:rsid w:val="00335E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s8">
    <w:name w:val="s8"/>
    <w:basedOn w:val="DefaultParagraphFont"/>
    <w:rsid w:val="00335E21"/>
  </w:style>
  <w:style w:type="character" w:customStyle="1" w:styleId="apple-converted-space">
    <w:name w:val="apple-converted-space"/>
    <w:basedOn w:val="DefaultParagraphFont"/>
    <w:rsid w:val="00335E21"/>
  </w:style>
  <w:style w:type="paragraph" w:customStyle="1" w:styleId="s13">
    <w:name w:val="s13"/>
    <w:basedOn w:val="Normal"/>
    <w:rsid w:val="00335E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s10">
    <w:name w:val="s10"/>
    <w:basedOn w:val="DefaultParagraphFont"/>
    <w:rsid w:val="00335E21"/>
  </w:style>
  <w:style w:type="paragraph" w:styleId="Header">
    <w:name w:val="header"/>
    <w:basedOn w:val="Normal"/>
    <w:link w:val="HeaderChar"/>
    <w:uiPriority w:val="99"/>
    <w:unhideWhenUsed/>
    <w:rsid w:val="009E4F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4F00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4F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4F00"/>
    <w:rPr>
      <w:sz w:val="24"/>
      <w:szCs w:val="24"/>
      <w:lang w:eastAsia="en-US"/>
    </w:rPr>
  </w:style>
  <w:style w:type="paragraph" w:customStyle="1" w:styleId="FreeForm">
    <w:name w:val="Free Form"/>
    <w:rsid w:val="009E4F00"/>
    <w:rPr>
      <w:rFonts w:ascii="Helvetica Neue" w:eastAsia="Helvetica Neue" w:hAnsi="Helvetica Neue" w:cs="Helvetica Neue"/>
      <w:color w:val="423F3D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character" w:customStyle="1" w:styleId="Heading3Char">
    <w:name w:val="Heading 3 Char"/>
    <w:basedOn w:val="DefaultParagraphFont"/>
    <w:link w:val="Heading3"/>
    <w:uiPriority w:val="9"/>
    <w:rsid w:val="007D2CFF"/>
    <w:rPr>
      <w:rFonts w:asciiTheme="majorHAnsi" w:eastAsiaTheme="majorEastAsia" w:hAnsiTheme="majorHAnsi" w:cstheme="majorBidi"/>
      <w:b/>
      <w:bCs/>
      <w:color w:val="85B9C9" w:themeColor="accent1"/>
      <w:sz w:val="22"/>
      <w:szCs w:val="22"/>
      <w:bdr w:val="none" w:sz="0" w:space="0" w:color="auto"/>
      <w:lang w:eastAsia="en-US"/>
    </w:rPr>
  </w:style>
  <w:style w:type="paragraph" w:styleId="ListNumber">
    <w:name w:val="List Number"/>
    <w:basedOn w:val="Normal"/>
    <w:uiPriority w:val="99"/>
    <w:unhideWhenUsed/>
    <w:rsid w:val="007D2CFF"/>
    <w:pPr>
      <w:numPr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bdr w:val="none" w:sz="0" w:space="0" w:color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65179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5250"/>
    <w:rPr>
      <w:color w:val="FF00FF" w:themeColor="followedHyperlink"/>
      <w:u w:val="single"/>
    </w:rPr>
  </w:style>
  <w:style w:type="paragraph" w:customStyle="1" w:styleId="EmptyCellLayoutStyle">
    <w:name w:val="EmptyCellLayoutStyle"/>
    <w:rsid w:val="00454F3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</w:pPr>
    <w:rPr>
      <w:rFonts w:eastAsia="Times New Roman"/>
      <w:sz w:val="2"/>
      <w:bdr w:val="none" w:sz="0" w:space="0" w:color="auto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32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5E121-66B1-43F2-B342-D627BA187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3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LNM</dc:creator>
  <cp:lastModifiedBy>Žilvaras Gelumbauskas</cp:lastModifiedBy>
  <cp:revision>482</cp:revision>
  <cp:lastPrinted>2025-12-05T08:33:00Z</cp:lastPrinted>
  <dcterms:created xsi:type="dcterms:W3CDTF">2025-10-08T06:19:00Z</dcterms:created>
  <dcterms:modified xsi:type="dcterms:W3CDTF">2026-02-06T08:14:00Z</dcterms:modified>
</cp:coreProperties>
</file>